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18" w:space="1" w:color="000000"/>
        </w:pBdr>
        <w:bidi w:val="0"/>
        <w:ind w:left="0" w:right="0" w:firstLine="856"/>
        <w:jc w:val="left"/>
        <w:rPr>
          <w:caps w:val="false"/>
          <w:smallCaps w:val="false"/>
        </w:rPr>
      </w:pPr>
      <w:bookmarkStart w:id="0" w:name="msex-20230630.htm"/>
      <w:bookmarkStart w:id="1" w:name="ksmsex20230630"/>
      <w:bookmarkEnd w:id="0"/>
      <w:bookmarkEnd w:id="1"/>
      <w:r>
        <w:rPr>
          <w:caps w:val="false"/>
          <w:smallCaps w:val="false"/>
        </w:rPr>
        <w:t>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r>
              <w:rPr/>
              <w:t>☑</w:t>
            </w:r>
          </w:p>
        </w:tc>
        <w:tc>
          <w:tcPr>
            <w:tcW w:w="9938" w:type="dxa"/>
            <w:tcBorders/>
            <w:vAlign w:val="center"/>
          </w:tcPr>
          <w:p>
            <w:pPr>
              <w:pStyle w:val="TableContents"/>
              <w:bidi w:val="0"/>
              <w:spacing w:before="0" w:after="283"/>
              <w:jc w:val="left"/>
              <w:rPr/>
            </w:pPr>
            <w:r>
              <w:rPr/>
              <w:t>QUARTERLY REPORT PURSUANT TO SECTION 13 OR 15(d) OF THE SECURITIES EXCHANGE ACT OF 1934</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center"/>
              <w:rPr/>
            </w:pPr>
            <w:r>
              <w:rPr/>
              <w:t>☐</w:t>
            </w:r>
          </w:p>
        </w:tc>
        <w:tc>
          <w:tcPr>
            <w:tcW w:w="9938" w:type="dxa"/>
            <w:tcBorders/>
            <w:vAlign w:val="center"/>
          </w:tcPr>
          <w:p>
            <w:pPr>
              <w:pStyle w:val="TableContents"/>
              <w:bidi w:val="0"/>
              <w:spacing w:before="0" w:after="283"/>
              <w:jc w:val="left"/>
              <w:rPr/>
            </w:pPr>
            <w:r>
              <w:rPr/>
              <w:t>TRANSITION REPORT PURSUANT TO SECTION 13 OR 15(d) OF THE SECURITIES EXCHANGE ACT OF 1934</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_________________ to______________________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0-422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MIDDLESEX WATER COMPANY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925"/>
        <w:gridCol w:w="2720"/>
      </w:tblGrid>
      <w:tr>
        <w:trPr/>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Jersey</w:t>
            </w:r>
          </w:p>
        </w:tc>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22-1114430</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27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485C Route One South, Iselin, New Jersey 08830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634-1500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6615" w:type="dxa"/>
        <w:jc w:val="left"/>
        <w:tblInd w:w="0" w:type="dxa"/>
        <w:tblLayout w:type="fixed"/>
        <w:tblCellMar>
          <w:top w:w="0" w:type="dxa"/>
          <w:left w:w="0" w:type="dxa"/>
          <w:bottom w:w="28" w:type="dxa"/>
          <w:right w:w="0" w:type="dxa"/>
        </w:tblCellMar>
      </w:tblPr>
      <w:tblGrid>
        <w:gridCol w:w="1490"/>
        <w:gridCol w:w="1535"/>
        <w:gridCol w:w="3590"/>
      </w:tblGrid>
      <w:tr>
        <w:trPr/>
        <w:tc>
          <w:tcPr>
            <w:tcW w:w="14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MSEX</w:t>
            </w:r>
          </w:p>
        </w:tc>
        <w:tc>
          <w:tcPr>
            <w:tcW w:w="3590" w:type="dxa"/>
            <w:tcBorders/>
            <w:tcMar>
              <w:bottom w:w="0" w:type="dxa"/>
            </w:tcMar>
            <w:vAlign w:val="center"/>
          </w:tcPr>
          <w:p>
            <w:pPr>
              <w:pStyle w:val="TableContents"/>
              <w:bidi w:val="0"/>
              <w:spacing w:before="0" w:after="283"/>
              <w:jc w:val="center"/>
              <w:rPr>
                <w:sz w:val="20"/>
              </w:rPr>
            </w:pPr>
            <w:r>
              <w:rPr>
                <w:sz w:val="20"/>
              </w:rPr>
              <w:t>NASDAQ</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2870"/>
        <w:gridCol w:w="1850"/>
        <w:gridCol w:w="2900"/>
      </w:tblGrid>
      <w:tr>
        <w:trPr/>
        <w:tc>
          <w:tcPr>
            <w:tcW w:w="2870" w:type="dxa"/>
            <w:tcBorders/>
            <w:vAlign w:val="center"/>
          </w:tcPr>
          <w:p>
            <w:pPr>
              <w:pStyle w:val="TableContents"/>
              <w:bidi w:val="0"/>
              <w:spacing w:before="0" w:after="283"/>
              <w:jc w:val="center"/>
              <w:rPr/>
            </w:pPr>
            <w:r>
              <w:rPr/>
              <w:t>Large accelerated filer ☑</w:t>
            </w:r>
          </w:p>
        </w:tc>
        <w:tc>
          <w:tcPr>
            <w:tcW w:w="1850" w:type="dxa"/>
            <w:tcBorders/>
            <w:vAlign w:val="center"/>
          </w:tcPr>
          <w:p>
            <w:pPr>
              <w:pStyle w:val="TableContents"/>
              <w:bidi w:val="0"/>
              <w:spacing w:before="0" w:after="283"/>
              <w:jc w:val="center"/>
              <w:rPr/>
            </w:pPr>
            <w:r>
              <w:rPr/>
              <w:t>Accelerated filer ☐</w:t>
            </w:r>
          </w:p>
        </w:tc>
        <w:tc>
          <w:tcPr>
            <w:tcW w:w="2900" w:type="dxa"/>
            <w:tcBorders/>
            <w:vAlign w:val="center"/>
          </w:tcPr>
          <w:p>
            <w:pPr>
              <w:pStyle w:val="TableContents"/>
              <w:bidi w:val="0"/>
              <w:spacing w:before="0" w:after="283"/>
              <w:jc w:val="center"/>
              <w:rPr/>
            </w:pPr>
            <w:r>
              <w:rPr/>
              <w:t>Non-accelerated filer ☐</w:t>
            </w:r>
          </w:p>
        </w:tc>
      </w:tr>
      <w:tr>
        <w:trPr/>
        <w:tc>
          <w:tcPr>
            <w:tcW w:w="2870" w:type="dxa"/>
            <w:tcBorders/>
            <w:vAlign w:val="center"/>
          </w:tcPr>
          <w:p>
            <w:pPr>
              <w:pStyle w:val="TableContents"/>
              <w:bidi w:val="0"/>
              <w:spacing w:before="0" w:after="283"/>
              <w:jc w:val="right"/>
              <w:rPr/>
            </w:pPr>
            <w:r>
              <w:rPr/>
              <w:t>Smaller reporting company ☐</w:t>
            </w:r>
          </w:p>
        </w:tc>
        <w:tc>
          <w:tcPr>
            <w:tcW w:w="185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Emerging growth company ☐</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each of the registrant's classes of common stock, as of July 28, 2023: Common Stock, No Par Value: 17,747,758 shares outstanding.</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2" w:name="index"/>
      <w:bookmarkEnd w:id="2"/>
      <w:r>
        <w:rPr>
          <w:rFonts w:ascii="Times New Roman;Times;Serif" w:hAnsi="Times New Roman;Times;Serif"/>
          <w:b w:val="false"/>
          <w:i w:val="false"/>
          <w:caps w:val="false"/>
          <w:smallCaps w:val="false"/>
          <w:sz w:val="20"/>
        </w:rPr>
        <w:t>INDEX</w:t>
      </w:r>
    </w:p>
    <w:p>
      <w:pPr>
        <w:pStyle w:val="TextBody"/>
        <w:bidi w:val="0"/>
        <w:jc w:val="left"/>
        <w:rPr>
          <w:caps w:val="false"/>
          <w:smallCaps w:val="false"/>
        </w:rPr>
      </w:pPr>
      <w:r>
        <w:rPr>
          <w:caps w:val="false"/>
          <w:smallCaps w:val="false"/>
        </w:rPr>
        <w:t> </w:t>
      </w:r>
    </w:p>
    <w:tbl>
      <w:tblPr>
        <w:tblW w:w="9915" w:type="dxa"/>
        <w:jc w:val="left"/>
        <w:tblInd w:w="0" w:type="dxa"/>
        <w:tblLayout w:type="fixed"/>
        <w:tblCellMar>
          <w:top w:w="0" w:type="dxa"/>
          <w:left w:w="0" w:type="dxa"/>
          <w:bottom w:w="0" w:type="dxa"/>
          <w:right w:w="0" w:type="dxa"/>
        </w:tblCellMar>
      </w:tblPr>
      <w:tblGrid>
        <w:gridCol w:w="875"/>
        <w:gridCol w:w="8465"/>
        <w:gridCol w:w="575"/>
      </w:tblGrid>
      <w:tr>
        <w:trPr/>
        <w:tc>
          <w:tcPr>
            <w:tcW w:w="875" w:type="dxa"/>
            <w:tcBorders/>
            <w:vAlign w:val="center"/>
          </w:tcPr>
          <w:p>
            <w:pPr>
              <w:pStyle w:val="TableContents"/>
              <w:bidi w:val="0"/>
              <w:spacing w:before="0" w:after="283"/>
              <w:jc w:val="left"/>
              <w:rPr/>
            </w:pPr>
            <w:hyperlink w:anchor="a_001">
              <w:r>
                <w:rPr>
                  <w:rStyle w:val="InternetLink"/>
                  <w:b/>
                  <w:sz w:val="20"/>
                </w:rPr>
                <w:t>PART I.</w:t>
              </w:r>
            </w:hyperlink>
          </w:p>
        </w:tc>
        <w:tc>
          <w:tcPr>
            <w:tcW w:w="8465" w:type="dxa"/>
            <w:tcBorders/>
            <w:vAlign w:val="center"/>
          </w:tcPr>
          <w:p>
            <w:pPr>
              <w:pStyle w:val="TableContents"/>
              <w:bidi w:val="0"/>
              <w:spacing w:before="0" w:after="283"/>
              <w:jc w:val="left"/>
              <w:rPr/>
            </w:pPr>
            <w:hyperlink w:anchor="a_001">
              <w:r>
                <w:rPr>
                  <w:rStyle w:val="InternetLink"/>
                  <w:b/>
                  <w:sz w:val="20"/>
                </w:rPr>
                <w:t>FINANCIAL INFORMATION</w:t>
              </w:r>
            </w:hyperlink>
          </w:p>
        </w:tc>
        <w:tc>
          <w:tcPr>
            <w:tcW w:w="575" w:type="dxa"/>
            <w:tcBorders/>
            <w:vAlign w:val="center"/>
          </w:tcPr>
          <w:p>
            <w:pPr>
              <w:pStyle w:val="TableContents"/>
              <w:bidi w:val="0"/>
              <w:spacing w:before="0" w:after="283"/>
              <w:jc w:val="center"/>
              <w:rPr>
                <w:b/>
                <w:sz w:val="20"/>
                <w:u w:val="single"/>
              </w:rPr>
            </w:pPr>
            <w:r>
              <w:rPr>
                <w:b/>
                <w:sz w:val="20"/>
                <w:u w:val="single"/>
              </w:rPr>
              <w:t>PAGE</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01">
              <w:r>
                <w:rPr>
                  <w:rStyle w:val="InternetLink"/>
                  <w:sz w:val="20"/>
                </w:rPr>
                <w:t>Item 1.</w:t>
              </w:r>
            </w:hyperlink>
          </w:p>
        </w:tc>
        <w:tc>
          <w:tcPr>
            <w:tcW w:w="8465" w:type="dxa"/>
            <w:tcBorders/>
            <w:vAlign w:val="center"/>
          </w:tcPr>
          <w:p>
            <w:pPr>
              <w:pStyle w:val="TableContents"/>
              <w:bidi w:val="0"/>
              <w:spacing w:before="0" w:after="283"/>
              <w:jc w:val="left"/>
              <w:rPr/>
            </w:pPr>
            <w:hyperlink w:anchor="a_001">
              <w:r>
                <w:rPr>
                  <w:rStyle w:val="InternetLink"/>
                  <w:sz w:val="20"/>
                </w:rPr>
                <w:t>Financial Statements (Unaudited):</w:t>
              </w:r>
            </w:hyperlink>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a_001">
              <w:r>
                <w:rPr>
                  <w:rStyle w:val="InternetLink"/>
                  <w:b w:val="false"/>
                </w:rPr>
                <w:t>Condensed Consolidated Statements of Income</w:t>
              </w:r>
            </w:hyperlink>
          </w:p>
        </w:tc>
        <w:tc>
          <w:tcPr>
            <w:tcW w:w="575" w:type="dxa"/>
            <w:tcBorders/>
            <w:vAlign w:val="center"/>
          </w:tcPr>
          <w:p>
            <w:pPr>
              <w:pStyle w:val="TableContents"/>
              <w:bidi w:val="0"/>
              <w:spacing w:before="0" w:after="283"/>
              <w:jc w:val="center"/>
              <w:rPr>
                <w:b w:val="false"/>
              </w:rPr>
            </w:pPr>
            <w:r>
              <w:rPr>
                <w:b w:val="false"/>
              </w:rPr>
              <w:t>1</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a_002">
              <w:r>
                <w:rPr>
                  <w:rStyle w:val="InternetLink"/>
                  <w:sz w:val="20"/>
                </w:rPr>
                <w:t>Condensed Consolidated Balance Sheets</w:t>
              </w:r>
            </w:hyperlink>
          </w:p>
        </w:tc>
        <w:tc>
          <w:tcPr>
            <w:tcW w:w="575" w:type="dxa"/>
            <w:tcBorders/>
            <w:vAlign w:val="center"/>
          </w:tcPr>
          <w:p>
            <w:pPr>
              <w:pStyle w:val="TableContents"/>
              <w:bidi w:val="0"/>
              <w:spacing w:before="0" w:after="283"/>
              <w:jc w:val="center"/>
              <w:rPr>
                <w:sz w:val="20"/>
              </w:rPr>
            </w:pPr>
            <w:r>
              <w:rPr>
                <w:sz w:val="20"/>
              </w:rPr>
              <w:t>2</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a_003">
              <w:r>
                <w:rPr>
                  <w:rStyle w:val="InternetLink"/>
                  <w:sz w:val="20"/>
                </w:rPr>
                <w:t>Condensed Consolidated Statements of Cash Flows</w:t>
              </w:r>
            </w:hyperlink>
          </w:p>
        </w:tc>
        <w:tc>
          <w:tcPr>
            <w:tcW w:w="575" w:type="dxa"/>
            <w:tcBorders/>
            <w:vAlign w:val="center"/>
          </w:tcPr>
          <w:p>
            <w:pPr>
              <w:pStyle w:val="TableContents"/>
              <w:bidi w:val="0"/>
              <w:spacing w:before="0" w:after="283"/>
              <w:jc w:val="center"/>
              <w:rPr>
                <w:sz w:val="20"/>
              </w:rPr>
            </w:pPr>
            <w:r>
              <w:rPr>
                <w:sz w:val="20"/>
              </w:rPr>
              <w:t>3</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a_004">
              <w:r>
                <w:rPr>
                  <w:rStyle w:val="InternetLink"/>
                  <w:sz w:val="20"/>
                </w:rPr>
                <w:t>Condensed Consolidated Statements of Capital Stock and Long-Term Debt</w:t>
              </w:r>
            </w:hyperlink>
          </w:p>
        </w:tc>
        <w:tc>
          <w:tcPr>
            <w:tcW w:w="575" w:type="dxa"/>
            <w:tcBorders/>
            <w:vAlign w:val="center"/>
          </w:tcPr>
          <w:p>
            <w:pPr>
              <w:pStyle w:val="TableContents"/>
              <w:bidi w:val="0"/>
              <w:spacing w:before="0" w:after="283"/>
              <w:jc w:val="center"/>
              <w:rPr>
                <w:sz w:val="20"/>
              </w:rPr>
            </w:pPr>
            <w:r>
              <w:rPr>
                <w:sz w:val="20"/>
              </w:rPr>
              <w:t>4</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a_005">
              <w:r>
                <w:rPr>
                  <w:rStyle w:val="InternetLink"/>
                  <w:sz w:val="20"/>
                </w:rPr>
                <w:t>Condensed Consolidated Statements of Common Stockholders’ Equity</w:t>
              </w:r>
            </w:hyperlink>
          </w:p>
        </w:tc>
        <w:tc>
          <w:tcPr>
            <w:tcW w:w="575" w:type="dxa"/>
            <w:tcBorders/>
            <w:vAlign w:val="center"/>
          </w:tcPr>
          <w:p>
            <w:pPr>
              <w:pStyle w:val="TableContents"/>
              <w:bidi w:val="0"/>
              <w:spacing w:before="0" w:after="283"/>
              <w:jc w:val="center"/>
              <w:rPr>
                <w:sz w:val="20"/>
              </w:rPr>
            </w:pPr>
            <w:r>
              <w:rPr>
                <w:sz w:val="20"/>
              </w:rPr>
              <w:t>5</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hyperlink w:anchor="a_006">
              <w:r>
                <w:rPr>
                  <w:rStyle w:val="InternetLink"/>
                  <w:sz w:val="20"/>
                </w:rPr>
                <w:t>Notes to Unaudited Condensed Consolidated Financial Statements</w:t>
              </w:r>
            </w:hyperlink>
          </w:p>
        </w:tc>
        <w:tc>
          <w:tcPr>
            <w:tcW w:w="575" w:type="dxa"/>
            <w:tcBorders/>
            <w:vAlign w:val="center"/>
          </w:tcPr>
          <w:p>
            <w:pPr>
              <w:pStyle w:val="TableContents"/>
              <w:bidi w:val="0"/>
              <w:spacing w:before="0" w:after="283"/>
              <w:jc w:val="center"/>
              <w:rPr>
                <w:sz w:val="20"/>
              </w:rPr>
            </w:pPr>
            <w:r>
              <w:rPr>
                <w:sz w:val="20"/>
              </w:rPr>
              <w:t>6</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07">
              <w:r>
                <w:rPr>
                  <w:rStyle w:val="InternetLink"/>
                </w:rPr>
                <w:t>Item 2.</w:t>
              </w:r>
            </w:hyperlink>
          </w:p>
        </w:tc>
        <w:tc>
          <w:tcPr>
            <w:tcW w:w="8465" w:type="dxa"/>
            <w:tcBorders/>
            <w:vAlign w:val="center"/>
          </w:tcPr>
          <w:p>
            <w:pPr>
              <w:pStyle w:val="TableContents"/>
              <w:bidi w:val="0"/>
              <w:spacing w:before="0" w:after="283"/>
              <w:jc w:val="left"/>
              <w:rPr/>
            </w:pPr>
            <w:hyperlink w:anchor="a_007">
              <w:r>
                <w:rPr>
                  <w:rStyle w:val="InternetLink"/>
                </w:rPr>
                <w:t>Management's Discussion and Analysis of Financial Condition and Results of Operations</w:t>
              </w:r>
            </w:hyperlink>
          </w:p>
        </w:tc>
        <w:tc>
          <w:tcPr>
            <w:tcW w:w="575" w:type="dxa"/>
            <w:tcBorders/>
            <w:vAlign w:val="center"/>
          </w:tcPr>
          <w:p>
            <w:pPr>
              <w:pStyle w:val="TableContents"/>
              <w:bidi w:val="0"/>
              <w:spacing w:before="0" w:after="283"/>
              <w:jc w:val="center"/>
              <w:rPr/>
            </w:pPr>
            <w:r>
              <w:rPr/>
              <w:t>18</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08">
              <w:r>
                <w:rPr>
                  <w:rStyle w:val="InternetLink"/>
                </w:rPr>
                <w:t>Item 3.</w:t>
              </w:r>
            </w:hyperlink>
          </w:p>
        </w:tc>
        <w:tc>
          <w:tcPr>
            <w:tcW w:w="8465" w:type="dxa"/>
            <w:tcBorders/>
            <w:vAlign w:val="center"/>
          </w:tcPr>
          <w:p>
            <w:pPr>
              <w:pStyle w:val="TableContents"/>
              <w:bidi w:val="0"/>
              <w:spacing w:before="0" w:after="283"/>
              <w:jc w:val="left"/>
              <w:rPr/>
            </w:pPr>
            <w:hyperlink w:anchor="a_008">
              <w:r>
                <w:rPr>
                  <w:rStyle w:val="InternetLink"/>
                </w:rPr>
                <w:t>Quantitative and Qualitative Disclosures of Market Risk</w:t>
              </w:r>
            </w:hyperlink>
          </w:p>
        </w:tc>
        <w:tc>
          <w:tcPr>
            <w:tcW w:w="575" w:type="dxa"/>
            <w:tcBorders/>
            <w:vAlign w:val="center"/>
          </w:tcPr>
          <w:p>
            <w:pPr>
              <w:pStyle w:val="TableContents"/>
              <w:bidi w:val="0"/>
              <w:spacing w:before="0" w:after="283"/>
              <w:jc w:val="center"/>
              <w:rPr/>
            </w:pPr>
            <w:r>
              <w:rPr/>
              <w:t>27</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09">
              <w:r>
                <w:rPr>
                  <w:rStyle w:val="InternetLink"/>
                </w:rPr>
                <w:t>Item 4.</w:t>
              </w:r>
            </w:hyperlink>
          </w:p>
        </w:tc>
        <w:tc>
          <w:tcPr>
            <w:tcW w:w="8465" w:type="dxa"/>
            <w:tcBorders/>
            <w:vAlign w:val="center"/>
          </w:tcPr>
          <w:p>
            <w:pPr>
              <w:pStyle w:val="TableContents"/>
              <w:bidi w:val="0"/>
              <w:spacing w:before="0" w:after="283"/>
              <w:jc w:val="left"/>
              <w:rPr/>
            </w:pPr>
            <w:hyperlink w:anchor="a_009">
              <w:r>
                <w:rPr>
                  <w:rStyle w:val="InternetLink"/>
                </w:rPr>
                <w:t>Controls and Procedures</w:t>
              </w:r>
            </w:hyperlink>
          </w:p>
        </w:tc>
        <w:tc>
          <w:tcPr>
            <w:tcW w:w="575" w:type="dxa"/>
            <w:tcBorders/>
            <w:vAlign w:val="center"/>
          </w:tcPr>
          <w:p>
            <w:pPr>
              <w:pStyle w:val="TableContents"/>
              <w:bidi w:val="0"/>
              <w:spacing w:before="0" w:after="283"/>
              <w:jc w:val="center"/>
              <w:rPr/>
            </w:pPr>
            <w:r>
              <w:rPr/>
              <w:t>28</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PART II.</w:t>
              </w:r>
            </w:hyperlink>
          </w:p>
        </w:tc>
        <w:tc>
          <w:tcPr>
            <w:tcW w:w="8465" w:type="dxa"/>
            <w:tcBorders/>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OTHER INFORMATION</w:t>
              </w:r>
            </w:hyperlink>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1">
              <w:r>
                <w:rPr>
                  <w:rStyle w:val="InternetLink"/>
                </w:rPr>
                <w:t>Item 1.</w:t>
              </w:r>
            </w:hyperlink>
          </w:p>
        </w:tc>
        <w:tc>
          <w:tcPr>
            <w:tcW w:w="8465" w:type="dxa"/>
            <w:tcBorders/>
            <w:vAlign w:val="center"/>
          </w:tcPr>
          <w:p>
            <w:pPr>
              <w:pStyle w:val="TableContents"/>
              <w:bidi w:val="0"/>
              <w:spacing w:before="0" w:after="283"/>
              <w:jc w:val="left"/>
              <w:rPr/>
            </w:pPr>
            <w:hyperlink w:anchor="a_011">
              <w:r>
                <w:rPr>
                  <w:rStyle w:val="InternetLink"/>
                </w:rPr>
                <w:t>Legal Proceedings</w:t>
              </w:r>
            </w:hyperlink>
            <w:r>
              <w:rPr/>
              <w:t xml:space="preserve"> </w:t>
            </w:r>
          </w:p>
        </w:tc>
        <w:tc>
          <w:tcPr>
            <w:tcW w:w="575" w:type="dxa"/>
            <w:tcBorders/>
            <w:vAlign w:val="center"/>
          </w:tcPr>
          <w:p>
            <w:pPr>
              <w:pStyle w:val="TableContents"/>
              <w:bidi w:val="0"/>
              <w:spacing w:before="0" w:after="283"/>
              <w:jc w:val="center"/>
              <w:rPr/>
            </w:pPr>
            <w:r>
              <w:rPr/>
              <w:t>29</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2">
              <w:r>
                <w:rPr>
                  <w:rStyle w:val="InternetLink"/>
                </w:rPr>
                <w:t>Item 1A.</w:t>
              </w:r>
            </w:hyperlink>
          </w:p>
        </w:tc>
        <w:tc>
          <w:tcPr>
            <w:tcW w:w="8465" w:type="dxa"/>
            <w:tcBorders/>
            <w:vAlign w:val="center"/>
          </w:tcPr>
          <w:p>
            <w:pPr>
              <w:pStyle w:val="TableContents"/>
              <w:bidi w:val="0"/>
              <w:spacing w:before="0" w:after="283"/>
              <w:jc w:val="left"/>
              <w:rPr/>
            </w:pPr>
            <w:hyperlink w:anchor="a_012">
              <w:r>
                <w:rPr>
                  <w:rStyle w:val="InternetLink"/>
                </w:rPr>
                <w:t>Risk Factors</w:t>
              </w:r>
            </w:hyperlink>
          </w:p>
        </w:tc>
        <w:tc>
          <w:tcPr>
            <w:tcW w:w="575" w:type="dxa"/>
            <w:tcBorders/>
            <w:vAlign w:val="center"/>
          </w:tcPr>
          <w:p>
            <w:pPr>
              <w:pStyle w:val="TableContents"/>
              <w:bidi w:val="0"/>
              <w:spacing w:before="0" w:after="283"/>
              <w:jc w:val="center"/>
              <w:rPr/>
            </w:pPr>
            <w:r>
              <w:rPr/>
              <w:t>29</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3">
              <w:r>
                <w:rPr>
                  <w:rStyle w:val="InternetLink"/>
                </w:rPr>
                <w:t>Item 2.</w:t>
              </w:r>
            </w:hyperlink>
          </w:p>
        </w:tc>
        <w:tc>
          <w:tcPr>
            <w:tcW w:w="8465" w:type="dxa"/>
            <w:tcBorders/>
            <w:vAlign w:val="center"/>
          </w:tcPr>
          <w:p>
            <w:pPr>
              <w:pStyle w:val="TableContents"/>
              <w:bidi w:val="0"/>
              <w:spacing w:before="0" w:after="283"/>
              <w:jc w:val="left"/>
              <w:rPr/>
            </w:pPr>
            <w:hyperlink w:anchor="a_013">
              <w:r>
                <w:rPr>
                  <w:rStyle w:val="InternetLink"/>
                </w:rPr>
                <w:t>Unregistered Sales of Equity Securities and Use of Proceeds</w:t>
              </w:r>
            </w:hyperlink>
          </w:p>
        </w:tc>
        <w:tc>
          <w:tcPr>
            <w:tcW w:w="575" w:type="dxa"/>
            <w:tcBorders/>
            <w:vAlign w:val="center"/>
          </w:tcPr>
          <w:p>
            <w:pPr>
              <w:pStyle w:val="TableContents"/>
              <w:bidi w:val="0"/>
              <w:spacing w:before="0" w:after="283"/>
              <w:jc w:val="center"/>
              <w:rPr/>
            </w:pPr>
            <w:r>
              <w:rPr/>
              <w:t>29</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4">
              <w:r>
                <w:rPr>
                  <w:rStyle w:val="InternetLink"/>
                </w:rPr>
                <w:t>Item 3.</w:t>
              </w:r>
            </w:hyperlink>
          </w:p>
        </w:tc>
        <w:tc>
          <w:tcPr>
            <w:tcW w:w="8465" w:type="dxa"/>
            <w:tcBorders/>
            <w:vAlign w:val="center"/>
          </w:tcPr>
          <w:p>
            <w:pPr>
              <w:pStyle w:val="TableContents"/>
              <w:bidi w:val="0"/>
              <w:spacing w:before="0" w:after="283"/>
              <w:jc w:val="left"/>
              <w:rPr/>
            </w:pPr>
            <w:hyperlink w:anchor="a_014">
              <w:r>
                <w:rPr>
                  <w:rStyle w:val="InternetLink"/>
                </w:rPr>
                <w:t>Defaults upon Senior Securities</w:t>
              </w:r>
            </w:hyperlink>
          </w:p>
        </w:tc>
        <w:tc>
          <w:tcPr>
            <w:tcW w:w="575" w:type="dxa"/>
            <w:tcBorders/>
            <w:vAlign w:val="center"/>
          </w:tcPr>
          <w:p>
            <w:pPr>
              <w:pStyle w:val="TableContents"/>
              <w:bidi w:val="0"/>
              <w:spacing w:before="0" w:after="283"/>
              <w:jc w:val="center"/>
              <w:rPr/>
            </w:pPr>
            <w:r>
              <w:rPr/>
              <w:t>29</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5">
              <w:r>
                <w:rPr>
                  <w:rStyle w:val="InternetLink"/>
                </w:rPr>
                <w:t>Item 4.</w:t>
              </w:r>
            </w:hyperlink>
          </w:p>
        </w:tc>
        <w:tc>
          <w:tcPr>
            <w:tcW w:w="8465" w:type="dxa"/>
            <w:tcBorders/>
            <w:vAlign w:val="center"/>
          </w:tcPr>
          <w:p>
            <w:pPr>
              <w:pStyle w:val="TableContents"/>
              <w:bidi w:val="0"/>
              <w:spacing w:before="0" w:after="283"/>
              <w:jc w:val="left"/>
              <w:rPr/>
            </w:pPr>
            <w:hyperlink w:anchor="a_015">
              <w:r>
                <w:rPr>
                  <w:rStyle w:val="InternetLink"/>
                </w:rPr>
                <w:t>Mine Safety Disclosures</w:t>
              </w:r>
            </w:hyperlink>
          </w:p>
        </w:tc>
        <w:tc>
          <w:tcPr>
            <w:tcW w:w="575" w:type="dxa"/>
            <w:tcBorders/>
            <w:vAlign w:val="center"/>
          </w:tcPr>
          <w:p>
            <w:pPr>
              <w:pStyle w:val="TableContents"/>
              <w:bidi w:val="0"/>
              <w:spacing w:before="0" w:after="283"/>
              <w:jc w:val="center"/>
              <w:rPr/>
            </w:pPr>
            <w:r>
              <w:rPr/>
              <w:t>29</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6">
              <w:r>
                <w:rPr>
                  <w:rStyle w:val="InternetLink"/>
                </w:rPr>
                <w:t>Item 5.</w:t>
              </w:r>
            </w:hyperlink>
          </w:p>
        </w:tc>
        <w:tc>
          <w:tcPr>
            <w:tcW w:w="8465" w:type="dxa"/>
            <w:tcBorders/>
            <w:vAlign w:val="center"/>
          </w:tcPr>
          <w:p>
            <w:pPr>
              <w:pStyle w:val="TableContents"/>
              <w:bidi w:val="0"/>
              <w:spacing w:before="0" w:after="283"/>
              <w:jc w:val="left"/>
              <w:rPr/>
            </w:pPr>
            <w:hyperlink w:anchor="a_016">
              <w:r>
                <w:rPr>
                  <w:rStyle w:val="InternetLink"/>
                </w:rPr>
                <w:t>Other Information</w:t>
              </w:r>
            </w:hyperlink>
          </w:p>
        </w:tc>
        <w:tc>
          <w:tcPr>
            <w:tcW w:w="575" w:type="dxa"/>
            <w:tcBorders/>
            <w:vAlign w:val="center"/>
          </w:tcPr>
          <w:p>
            <w:pPr>
              <w:pStyle w:val="TableContents"/>
              <w:bidi w:val="0"/>
              <w:spacing w:before="0" w:after="283"/>
              <w:jc w:val="center"/>
              <w:rPr/>
            </w:pPr>
            <w:r>
              <w:rPr/>
              <w:t>29</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left"/>
              <w:rPr/>
            </w:pPr>
            <w:hyperlink w:anchor="a_017">
              <w:r>
                <w:rPr>
                  <w:rStyle w:val="InternetLink"/>
                </w:rPr>
                <w:t>Item 6.</w:t>
              </w:r>
            </w:hyperlink>
          </w:p>
        </w:tc>
        <w:tc>
          <w:tcPr>
            <w:tcW w:w="8465" w:type="dxa"/>
            <w:tcBorders/>
            <w:vAlign w:val="center"/>
          </w:tcPr>
          <w:p>
            <w:pPr>
              <w:pStyle w:val="TableContents"/>
              <w:bidi w:val="0"/>
              <w:spacing w:before="0" w:after="283"/>
              <w:jc w:val="left"/>
              <w:rPr/>
            </w:pPr>
            <w:hyperlink w:anchor="a_017">
              <w:r>
                <w:rPr>
                  <w:rStyle w:val="InternetLink"/>
                </w:rPr>
                <w:t>Exhibits</w:t>
              </w:r>
            </w:hyperlink>
          </w:p>
        </w:tc>
        <w:tc>
          <w:tcPr>
            <w:tcW w:w="575" w:type="dxa"/>
            <w:tcBorders/>
            <w:vAlign w:val="center"/>
          </w:tcPr>
          <w:p>
            <w:pPr>
              <w:pStyle w:val="TableContents"/>
              <w:bidi w:val="0"/>
              <w:spacing w:before="0" w:after="283"/>
              <w:jc w:val="center"/>
              <w:rPr/>
            </w:pPr>
            <w:r>
              <w:rPr/>
              <w:t>30</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r>
        <w:trPr/>
        <w:tc>
          <w:tcPr>
            <w:tcW w:w="9340" w:type="dxa"/>
            <w:gridSpan w:val="2"/>
            <w:tcBorders/>
            <w:vAlign w:val="center"/>
          </w:tcPr>
          <w:p>
            <w:pPr>
              <w:pStyle w:val="TableContents"/>
              <w:bidi w:val="0"/>
              <w:spacing w:before="0" w:after="283"/>
              <w:jc w:val="left"/>
              <w:rPr/>
            </w:pPr>
            <w:hyperlink w:anchor="a_018">
              <w:r>
                <w:rPr>
                  <w:rStyle w:val="InternetLink"/>
                  <w:rFonts w:ascii="Times New Roman;Times;Serif" w:hAnsi="Times New Roman;Times;Serif"/>
                  <w:b/>
                  <w:i w:val="false"/>
                  <w:caps w:val="false"/>
                  <w:smallCaps w:val="false"/>
                  <w:sz w:val="20"/>
                </w:rPr>
                <w:t>SIGNATURES</w:t>
              </w:r>
            </w:hyperlink>
          </w:p>
        </w:tc>
        <w:tc>
          <w:tcPr>
            <w:tcW w:w="575" w:type="dxa"/>
            <w:tcBorders/>
            <w:vAlign w:val="center"/>
          </w:tcPr>
          <w:p>
            <w:pPr>
              <w:pStyle w:val="TableContents"/>
              <w:bidi w:val="0"/>
              <w:spacing w:before="0" w:after="283"/>
              <w:jc w:val="center"/>
              <w:rPr/>
            </w:pPr>
            <w:r>
              <w:rPr/>
              <w:t>31</w:t>
            </w:r>
          </w:p>
        </w:tc>
      </w:tr>
      <w:tr>
        <w:trPr/>
        <w:tc>
          <w:tcPr>
            <w:tcW w:w="875"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CONDENSED CONSOLIDATED STATEMENTS OF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4"/>
        <w:gridCol w:w="60"/>
        <w:gridCol w:w="226"/>
        <w:gridCol w:w="1104"/>
        <w:gridCol w:w="154"/>
        <w:gridCol w:w="97"/>
        <w:gridCol w:w="226"/>
        <w:gridCol w:w="1104"/>
        <w:gridCol w:w="97"/>
        <w:gridCol w:w="60"/>
        <w:gridCol w:w="209"/>
        <w:gridCol w:w="1019"/>
        <w:gridCol w:w="89"/>
        <w:gridCol w:w="89"/>
        <w:gridCol w:w="209"/>
        <w:gridCol w:w="1019"/>
        <w:gridCol w:w="119"/>
      </w:tblGrid>
      <w:tr>
        <w:trPr/>
        <w:tc>
          <w:tcPr>
            <w:tcW w:w="43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008" w:type="dxa"/>
            <w:gridSpan w:val="7"/>
            <w:tcBorders/>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center"/>
              <w:rPr/>
            </w:pPr>
            <w:r>
              <w:rPr/>
              <w:t> </w:t>
            </w:r>
          </w:p>
        </w:tc>
        <w:tc>
          <w:tcPr>
            <w:tcW w:w="2753" w:type="dxa"/>
            <w:gridSpan w:val="7"/>
            <w:tcBorders/>
            <w:vAlign w:val="center"/>
          </w:tcPr>
          <w:p>
            <w:pPr>
              <w:pStyle w:val="TableContents"/>
              <w:bidi w:val="0"/>
              <w:spacing w:before="0" w:after="283"/>
              <w:jc w:val="center"/>
              <w:rPr>
                <w:b/>
              </w:rPr>
            </w:pPr>
            <w:r>
              <w:rPr>
                <w:b/>
              </w:rPr>
              <w:t>Six Months Ended June 30,</w:t>
            </w:r>
          </w:p>
        </w:tc>
      </w:tr>
      <w:tr>
        <w:trPr/>
        <w:tc>
          <w:tcPr>
            <w:tcW w:w="4324"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7"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2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1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9"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4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43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84" w:type="dxa"/>
            <w:gridSpan w:val="3"/>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1427"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17" w:type="dxa"/>
            <w:gridSpan w:val="3"/>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1347" w:type="dxa"/>
            <w:gridSpan w:val="3"/>
            <w:tcBorders/>
            <w:vAlign w:val="center"/>
          </w:tcPr>
          <w:p>
            <w:pPr>
              <w:pStyle w:val="TableContents"/>
              <w:bidi w:val="0"/>
              <w:spacing w:before="0" w:after="283"/>
              <w:jc w:val="right"/>
              <w:rPr/>
            </w:pPr>
            <w:r>
              <w:rPr/>
              <w:t> </w:t>
            </w:r>
          </w:p>
        </w:tc>
      </w:tr>
      <w:tr>
        <w:trPr/>
        <w:tc>
          <w:tcPr>
            <w:tcW w:w="4324" w:type="dxa"/>
            <w:tcBorders>
              <w:bottom w:val="single" w:sz="8" w:space="0" w:color="000000"/>
            </w:tcBorders>
            <w:shd w:fill="CCEEFF" w:val="clear"/>
            <w:tcMar>
              <w:bottom w:w="28" w:type="dxa"/>
            </w:tcMar>
            <w:vAlign w:val="center"/>
          </w:tcPr>
          <w:p>
            <w:pPr>
              <w:pStyle w:val="TableContents"/>
              <w:bidi w:val="0"/>
              <w:spacing w:before="0" w:after="283"/>
              <w:jc w:val="left"/>
              <w:rPr/>
            </w:pPr>
            <w:r>
              <w:rPr/>
              <w:t>Operating Revenues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42,801</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39,683</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80,957</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75,879</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Operations and Maintenance</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b/>
              </w:rPr>
            </w:pPr>
            <w:r>
              <w:rPr>
                <w:b/>
              </w:rPr>
              <w:t>21,204</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19,557</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b/>
              </w:rPr>
            </w:pPr>
            <w:r>
              <w:rPr>
                <w:b/>
              </w:rPr>
              <w:t>41,462</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38,695</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6,184</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5,670</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12,170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11,292</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Other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4,744</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4,368</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9,168</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8,512</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Total Operating Expenses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32,132</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29,595</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62,800</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58,499</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Gain on Sale of Subsidiary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0"/>
              <w:jc w:val="right"/>
              <w:rPr/>
            </w:pPr>
            <w:r>
              <w:rPr/>
              <w:t>—</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0"/>
              <w:jc w:val="right"/>
              <w:rPr/>
            </w:pPr>
            <w:r>
              <w:rPr/>
              <w:t>—</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0"/>
              <w:jc w:val="right"/>
              <w:rPr/>
            </w:pPr>
            <w:r>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5,232</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Operating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10,669</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10,088</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18,157</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22,612</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Allowance for Funds Used During Construction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852</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548</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1,665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926</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Other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1,290</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1,396</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2,188</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2,773</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Total Other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2,142</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1,944</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3,853</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3,699</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Interest Charges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3,251</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2,369</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5,846</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4,219</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Income before Income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9,560</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9,663</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16,164</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22,092</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Income Taxes Expense (Benefit)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(341</w:t>
            </w:r>
          </w:p>
        </w:tc>
        <w:tc>
          <w:tcPr>
            <w:tcW w:w="154"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795</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397</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1,124</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b/>
              </w:rPr>
            </w:pPr>
            <w:r>
              <w:rPr>
                <w:b/>
              </w:rPr>
              <w:t>9,901</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8,868</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b/>
              </w:rPr>
            </w:pPr>
            <w:r>
              <w:rPr>
                <w:b/>
              </w:rPr>
              <w:t>15,767</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20,968</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Preferred Stock Dividend Requirements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30</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30</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60</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60</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Earnings Applicable to Common Stock</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104" w:type="dxa"/>
            <w:tcBorders>
              <w:bottom w:val="single" w:sz="8" w:space="0" w:color="000000"/>
            </w:tcBorders>
            <w:tcMar>
              <w:bottom w:w="28" w:type="dxa"/>
            </w:tcMar>
            <w:vAlign w:val="center"/>
          </w:tcPr>
          <w:p>
            <w:pPr>
              <w:pStyle w:val="TableContents"/>
              <w:bidi w:val="0"/>
              <w:spacing w:before="0" w:after="283"/>
              <w:jc w:val="right"/>
              <w:rPr>
                <w:b/>
              </w:rPr>
            </w:pPr>
            <w:r>
              <w:rPr>
                <w:b/>
              </w:rPr>
              <w:t>9,871</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tcMar>
              <w:bottom w:w="28" w:type="dxa"/>
            </w:tcMar>
            <w:vAlign w:val="center"/>
          </w:tcPr>
          <w:p>
            <w:pPr>
              <w:pStyle w:val="TableContents"/>
              <w:bidi w:val="0"/>
              <w:spacing w:before="0" w:after="283"/>
              <w:jc w:val="right"/>
              <w:rPr/>
            </w:pPr>
            <w:r>
              <w:rPr/>
              <w:t>8,838</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19" w:type="dxa"/>
            <w:tcBorders>
              <w:bottom w:val="single" w:sz="8" w:space="0" w:color="000000"/>
            </w:tcBorders>
            <w:tcMar>
              <w:bottom w:w="28" w:type="dxa"/>
            </w:tcMar>
            <w:vAlign w:val="center"/>
          </w:tcPr>
          <w:p>
            <w:pPr>
              <w:pStyle w:val="TableContents"/>
              <w:bidi w:val="0"/>
              <w:spacing w:before="0" w:after="283"/>
              <w:jc w:val="right"/>
              <w:rPr>
                <w:b/>
              </w:rPr>
            </w:pPr>
            <w:r>
              <w:rPr>
                <w:b/>
              </w:rPr>
              <w:t>15,707</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20,908</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Earnings per share of Common Stock:</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b/>
              </w:rPr>
            </w:pPr>
            <w:r>
              <w:rPr>
                <w:b/>
              </w:rPr>
              <w:t>$</w:t>
            </w:r>
          </w:p>
        </w:tc>
        <w:tc>
          <w:tcPr>
            <w:tcW w:w="1104" w:type="dxa"/>
            <w:tcBorders/>
            <w:shd w:fill="CCEEFF" w:val="clear"/>
            <w:vAlign w:val="center"/>
          </w:tcPr>
          <w:p>
            <w:pPr>
              <w:pStyle w:val="TableContents"/>
              <w:bidi w:val="0"/>
              <w:spacing w:before="0" w:after="283"/>
              <w:jc w:val="right"/>
              <w:rPr>
                <w:b/>
              </w:rPr>
            </w:pPr>
            <w:r>
              <w:rPr>
                <w:b/>
              </w:rPr>
              <w:t>0.56</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0.50</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rPr>
            </w:pPr>
            <w:r>
              <w:rPr>
                <w:b/>
              </w:rPr>
              <w:t>$</w:t>
            </w:r>
          </w:p>
        </w:tc>
        <w:tc>
          <w:tcPr>
            <w:tcW w:w="1019" w:type="dxa"/>
            <w:tcBorders/>
            <w:shd w:fill="CCEEFF" w:val="clear"/>
            <w:vAlign w:val="center"/>
          </w:tcPr>
          <w:p>
            <w:pPr>
              <w:pStyle w:val="TableContents"/>
              <w:bidi w:val="0"/>
              <w:spacing w:before="0" w:after="283"/>
              <w:jc w:val="right"/>
              <w:rPr>
                <w:b/>
              </w:rPr>
            </w:pPr>
            <w:r>
              <w:rPr>
                <w:b/>
              </w:rPr>
              <w:t>0.89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1.19</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Diluted</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b/>
              </w:rPr>
            </w:pPr>
            <w:r>
              <w:rPr>
                <w:b/>
              </w:rPr>
              <w:t>$</w:t>
            </w:r>
          </w:p>
        </w:tc>
        <w:tc>
          <w:tcPr>
            <w:tcW w:w="1104" w:type="dxa"/>
            <w:tcBorders/>
            <w:vAlign w:val="center"/>
          </w:tcPr>
          <w:p>
            <w:pPr>
              <w:pStyle w:val="TableContents"/>
              <w:bidi w:val="0"/>
              <w:spacing w:before="0" w:after="283"/>
              <w:jc w:val="right"/>
              <w:rPr>
                <w:b/>
              </w:rPr>
            </w:pPr>
            <w:r>
              <w:rPr>
                <w:b/>
              </w:rPr>
              <w:t>0.55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0.50</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b/>
              </w:rPr>
            </w:pPr>
            <w:r>
              <w:rPr>
                <w:b/>
              </w:rPr>
              <w:t>$</w:t>
            </w:r>
          </w:p>
        </w:tc>
        <w:tc>
          <w:tcPr>
            <w:tcW w:w="1019" w:type="dxa"/>
            <w:tcBorders/>
            <w:vAlign w:val="center"/>
          </w:tcPr>
          <w:p>
            <w:pPr>
              <w:pStyle w:val="TableContents"/>
              <w:bidi w:val="0"/>
              <w:spacing w:before="0" w:after="283"/>
              <w:jc w:val="right"/>
              <w:rPr>
                <w:b/>
              </w:rPr>
            </w:pPr>
            <w:r>
              <w:rPr>
                <w:b/>
              </w:rPr>
              <w:t>0.88</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019" w:type="dxa"/>
            <w:tcBorders/>
            <w:vAlign w:val="center"/>
          </w:tcPr>
          <w:p>
            <w:pPr>
              <w:pStyle w:val="TableContents"/>
              <w:bidi w:val="0"/>
              <w:spacing w:before="0" w:after="283"/>
              <w:jc w:val="right"/>
              <w:rPr/>
            </w:pPr>
            <w:r>
              <w:rPr/>
              <w:t>1.18</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Average Number of</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Common Shares Outstanding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vAlign w:val="center"/>
          </w:tcPr>
          <w:p>
            <w:pPr>
              <w:pStyle w:val="TableContents"/>
              <w:bidi w:val="0"/>
              <w:spacing w:before="0" w:after="283"/>
              <w:jc w:val="left"/>
              <w:rPr/>
            </w:pPr>
            <w:r>
              <w:rPr/>
              <w:t>Basic</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b/>
              </w:rPr>
            </w:pPr>
            <w:r>
              <w:rPr>
                <w:b/>
              </w:rPr>
              <w:t>17,713</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17,583</w:t>
            </w:r>
          </w:p>
        </w:tc>
        <w:tc>
          <w:tcPr>
            <w:tcW w:w="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b/>
              </w:rPr>
            </w:pPr>
            <w:r>
              <w:rPr>
                <w:b/>
              </w:rPr>
              <w:t>17,683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17,560</w:t>
            </w:r>
          </w:p>
        </w:tc>
        <w:tc>
          <w:tcPr>
            <w:tcW w:w="119" w:type="dxa"/>
            <w:tcBorders/>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17,828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17,698</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17,798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17,675</w:t>
            </w:r>
          </w:p>
        </w:tc>
        <w:tc>
          <w:tcPr>
            <w:tcW w:w="11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0"/>
        <w:gridCol w:w="60"/>
        <w:gridCol w:w="5905"/>
        <w:gridCol w:w="60"/>
        <w:gridCol w:w="125"/>
        <w:gridCol w:w="845"/>
        <w:gridCol w:w="60"/>
        <w:gridCol w:w="60"/>
        <w:gridCol w:w="136"/>
        <w:gridCol w:w="921"/>
        <w:gridCol w:w="83"/>
      </w:tblGrid>
      <w:tr>
        <w:trPr/>
        <w:tc>
          <w:tcPr>
            <w:tcW w:w="19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r>
      <w:tr>
        <w:trPr/>
        <w:tc>
          <w:tcPr>
            <w:tcW w:w="19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r>
      <w:tr>
        <w:trPr/>
        <w:tc>
          <w:tcPr>
            <w:tcW w:w="1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PLANT: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Production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287,871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249,153</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and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768,138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735,138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99,587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97,581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Work in Progress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36,792</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53,570</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1,192,388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225,281</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214,891</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PLANT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967,107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920,551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uncollectible accounts of $1,889 and $2,326, respectively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Unbilled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(at average cost)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40,570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37,306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Survey and Investigation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92,772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90,046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Non-utility Assets -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Plans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9,898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8,689</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ASSETS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119,909</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116,593</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1,127,586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1,074,450</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15" w:type="dxa"/>
            <w:gridSpan w:val="3"/>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LIABILITIES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239,545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233,054</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171,932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167,274</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COMMON EQUITY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411,477</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400,328</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350,446</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290,280</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764,007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692,692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55,500</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Revenues and Advanced Service Fees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87,563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117,859</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1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CONTINGENT LIABILITIES (Note 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0"/>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0"/>
              <w:jc w:val="righ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Advances for Construction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Deferred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85,196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77,783</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46,734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758</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157,768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150,524</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915" w:type="dxa"/>
            <w:gridSpan w:val="3"/>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CONTRIBUTIONS IN AID OF CONSTRUCTION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 AND LIABILITIES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1,127,586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1,074,450</w:t>
            </w:r>
          </w:p>
        </w:tc>
        <w:tc>
          <w:tcPr>
            <w:tcW w:w="8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5"/>
        <w:gridCol w:w="60"/>
        <w:gridCol w:w="180"/>
        <w:gridCol w:w="974"/>
        <w:gridCol w:w="122"/>
        <w:gridCol w:w="76"/>
        <w:gridCol w:w="180"/>
        <w:gridCol w:w="974"/>
        <w:gridCol w:w="144"/>
      </w:tblGrid>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0" w:type="dxa"/>
            <w:gridSpan w:val="7"/>
            <w:tcBorders/>
            <w:vAlign w:val="center"/>
          </w:tcPr>
          <w:p>
            <w:pPr>
              <w:pStyle w:val="TableContents"/>
              <w:bidi w:val="0"/>
              <w:spacing w:before="0" w:after="283"/>
              <w:jc w:val="center"/>
              <w:rPr>
                <w:b/>
              </w:rPr>
            </w:pPr>
            <w:r>
              <w:rPr>
                <w:b/>
              </w:rPr>
              <w:t>Six Months Ended June 30,</w:t>
            </w:r>
          </w:p>
        </w:tc>
      </w:tr>
      <w:tr>
        <w:trPr/>
        <w:tc>
          <w:tcPr>
            <w:tcW w:w="749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2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749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974" w:type="dxa"/>
            <w:tcBorders/>
            <w:vAlign w:val="center"/>
          </w:tcPr>
          <w:p>
            <w:pPr>
              <w:pStyle w:val="TableContents"/>
              <w:bidi w:val="0"/>
              <w:spacing w:before="0" w:after="283"/>
              <w:jc w:val="right"/>
              <w:rPr>
                <w:b/>
              </w:rPr>
            </w:pPr>
            <w:r>
              <w:rPr>
                <w:b/>
              </w:rPr>
              <w:t>15,767</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right"/>
              <w:rPr/>
            </w:pPr>
            <w:r>
              <w:rPr/>
              <w:t>20,968</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Adjustments to Reconcile Net Income to</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Net Cash Provided by Operating Activities: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14,543</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13,401</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Provision for Deferred Income Taxes and Investment Tax Credits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(2,993</w:t>
            </w:r>
          </w:p>
        </w:tc>
        <w:tc>
          <w:tcPr>
            <w:tcW w:w="122" w:type="dxa"/>
            <w:tcBorders/>
            <w:vAlign w:val="center"/>
          </w:tcPr>
          <w:p>
            <w:pPr>
              <w:pStyle w:val="TableContents"/>
              <w:bidi w:val="0"/>
              <w:spacing w:before="0" w:after="283"/>
              <w:jc w:val="left"/>
              <w:rPr>
                <w:b/>
              </w:rPr>
            </w:pPr>
            <w:r>
              <w:rPr>
                <w:b/>
              </w:rPr>
              <w:t>)</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(3,256</w:t>
            </w:r>
          </w:p>
        </w:tc>
        <w:tc>
          <w:tcPr>
            <w:tcW w:w="144" w:type="dxa"/>
            <w:tcBorders/>
            <w:vAlign w:val="center"/>
          </w:tcPr>
          <w:p>
            <w:pPr>
              <w:pStyle w:val="TableContents"/>
              <w:bidi w:val="0"/>
              <w:spacing w:before="0" w:after="283"/>
              <w:jc w:val="left"/>
              <w:rPr/>
            </w:pPr>
            <w:r>
              <w:rPr/>
              <w:t>)</w:t>
            </w:r>
          </w:p>
        </w:tc>
      </w:tr>
      <w:tr>
        <w:trPr/>
        <w:tc>
          <w:tcPr>
            <w:tcW w:w="7495" w:type="dxa"/>
            <w:tcBorders/>
            <w:shd w:fill="CCEEFF" w:val="clear"/>
            <w:vAlign w:val="center"/>
          </w:tcPr>
          <w:p>
            <w:pPr>
              <w:pStyle w:val="TableContents"/>
              <w:bidi w:val="0"/>
              <w:spacing w:before="0" w:after="283"/>
              <w:jc w:val="left"/>
              <w:rPr/>
            </w:pPr>
            <w:r>
              <w:rPr/>
              <w:t>Equity Portion of Allowance for Funds Used During Construction (AFUDC)</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(1,014</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(532</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Cash Surrender Value of Life Insurance</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(207</w:t>
            </w:r>
          </w:p>
        </w:tc>
        <w:tc>
          <w:tcPr>
            <w:tcW w:w="122" w:type="dxa"/>
            <w:tcBorders/>
            <w:vAlign w:val="center"/>
          </w:tcPr>
          <w:p>
            <w:pPr>
              <w:pStyle w:val="TableContents"/>
              <w:bidi w:val="0"/>
              <w:spacing w:before="0" w:after="283"/>
              <w:jc w:val="left"/>
              <w:rPr>
                <w:b/>
              </w:rPr>
            </w:pPr>
            <w:r>
              <w:rPr>
                <w:b/>
              </w:rPr>
              <w:t>)</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445</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1,366</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909</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Gain on Sale of Subsidiary</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(5,232</w:t>
            </w:r>
          </w:p>
        </w:tc>
        <w:tc>
          <w:tcPr>
            <w:tcW w:w="144" w:type="dxa"/>
            <w:tcBorders/>
            <w:vAlign w:val="center"/>
          </w:tcPr>
          <w:p>
            <w:pPr>
              <w:pStyle w:val="TableContents"/>
              <w:bidi w:val="0"/>
              <w:spacing w:before="0" w:after="283"/>
              <w:jc w:val="left"/>
              <w:rPr/>
            </w:pPr>
            <w:r>
              <w:rPr/>
              <w:t>)</w:t>
            </w:r>
          </w:p>
        </w:tc>
      </w:tr>
      <w:tr>
        <w:trPr/>
        <w:tc>
          <w:tcPr>
            <w:tcW w:w="7495"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788</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682</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Unbilled Revenues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(2,408</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(3,016</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Materials &amp; Supplies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(249</w:t>
            </w:r>
          </w:p>
        </w:tc>
        <w:tc>
          <w:tcPr>
            <w:tcW w:w="122" w:type="dxa"/>
            <w:tcBorders/>
            <w:vAlign w:val="center"/>
          </w:tcPr>
          <w:p>
            <w:pPr>
              <w:pStyle w:val="TableContents"/>
              <w:bidi w:val="0"/>
              <w:spacing w:before="0" w:after="283"/>
              <w:jc w:val="left"/>
              <w:rPr>
                <w:b/>
              </w:rPr>
            </w:pPr>
            <w:r>
              <w:rPr>
                <w:b/>
              </w:rPr>
              <w:t>)</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(349</w:t>
            </w:r>
          </w:p>
        </w:tc>
        <w:tc>
          <w:tcPr>
            <w:tcW w:w="144" w:type="dxa"/>
            <w:tcBorders/>
            <w:vAlign w:val="center"/>
          </w:tcPr>
          <w:p>
            <w:pPr>
              <w:pStyle w:val="TableContents"/>
              <w:bidi w:val="0"/>
              <w:spacing w:before="0" w:after="283"/>
              <w:jc w:val="left"/>
              <w:rPr/>
            </w:pPr>
            <w:r>
              <w:rPr/>
              <w:t>)</w:t>
            </w:r>
          </w:p>
        </w:tc>
      </w:tr>
      <w:tr>
        <w:trPr/>
        <w:tc>
          <w:tcPr>
            <w:tcW w:w="749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(846</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(1,195</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3,418</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3,124</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Accrued Taxes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843</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3,893</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Accrued Interest</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563</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170</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Employee Benefit Plans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(975</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(1,310</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Unearned Revenue &amp; Advanced Service Fees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111</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165</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Other Assets and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580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(2,006</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95"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OPERATING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29,287</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26,861</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CASH FLOWS FROM INVESTING ACTIVITIES: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Utility Plant Expenditures, Including AFUDC of $651 in 2023 and $394 in 2022</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(50,635</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(39,343</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Proceeds from Sale of Subsidiary</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3,122</w:t>
            </w:r>
          </w:p>
        </w:tc>
        <w:tc>
          <w:tcPr>
            <w:tcW w:w="144" w:type="dxa"/>
            <w:tcBorders/>
            <w:vAlign w:val="center"/>
          </w:tcPr>
          <w:p>
            <w:pPr>
              <w:pStyle w:val="TableContents"/>
              <w:bidi w:val="0"/>
              <w:spacing w:before="0" w:after="283"/>
              <w:jc w:val="left"/>
              <w:rPr/>
            </w:pPr>
            <w:r>
              <w:rPr/>
              <w:t> </w:t>
            </w:r>
          </w:p>
        </w:tc>
      </w:tr>
      <w:tr>
        <w:trPr/>
        <w:tc>
          <w:tcPr>
            <w:tcW w:w="74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5" w:type="dxa"/>
            <w:tcBorders>
              <w:bottom w:val="single" w:sz="8" w:space="0" w:color="000000"/>
            </w:tcBorders>
            <w:tcMar>
              <w:bottom w:w="28" w:type="dxa"/>
            </w:tcMar>
            <w:vAlign w:val="center"/>
          </w:tcPr>
          <w:p>
            <w:pPr>
              <w:pStyle w:val="TableContents"/>
              <w:bidi w:val="0"/>
              <w:spacing w:before="0" w:after="283"/>
              <w:jc w:val="left"/>
              <w:rPr/>
            </w:pPr>
            <w:r>
              <w:rPr/>
              <w:t>NET CASH USED IN INVESTING ACTIVITIES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b/>
              </w:rPr>
            </w:pPr>
            <w:r>
              <w:rPr>
                <w:b/>
              </w:rPr>
              <w:t>(50,635</w:t>
            </w:r>
          </w:p>
        </w:tc>
        <w:tc>
          <w:tcPr>
            <w:tcW w:w="122"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pPr>
            <w:r>
              <w:rPr/>
              <w:t>(36,221</w:t>
            </w:r>
          </w:p>
        </w:tc>
        <w:tc>
          <w:tcPr>
            <w:tcW w:w="144"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749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Redemption of Long-term Debt</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(2,553</w:t>
            </w:r>
          </w:p>
        </w:tc>
        <w:tc>
          <w:tcPr>
            <w:tcW w:w="122" w:type="dxa"/>
            <w:tcBorders/>
            <w:vAlign w:val="center"/>
          </w:tcPr>
          <w:p>
            <w:pPr>
              <w:pStyle w:val="TableContents"/>
              <w:bidi w:val="0"/>
              <w:spacing w:before="0" w:after="283"/>
              <w:jc w:val="left"/>
              <w:rPr>
                <w:b/>
              </w:rPr>
            </w:pPr>
            <w:r>
              <w:rPr>
                <w:b/>
              </w:rPr>
              <w:t>)</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(2,162</w:t>
            </w:r>
          </w:p>
        </w:tc>
        <w:tc>
          <w:tcPr>
            <w:tcW w:w="144" w:type="dxa"/>
            <w:tcBorders/>
            <w:vAlign w:val="center"/>
          </w:tcPr>
          <w:p>
            <w:pPr>
              <w:pStyle w:val="TableContents"/>
              <w:bidi w:val="0"/>
              <w:spacing w:before="0" w:after="283"/>
              <w:jc w:val="left"/>
              <w:rPr/>
            </w:pPr>
            <w:r>
              <w:rPr/>
              <w:t>)</w:t>
            </w:r>
          </w:p>
        </w:tc>
      </w:tr>
      <w:tr>
        <w:trPr/>
        <w:tc>
          <w:tcPr>
            <w:tcW w:w="7495" w:type="dxa"/>
            <w:tcBorders/>
            <w:shd w:fill="CCEEFF" w:val="clear"/>
            <w:vAlign w:val="center"/>
          </w:tcPr>
          <w:p>
            <w:pPr>
              <w:pStyle w:val="TableContents"/>
              <w:bidi w:val="0"/>
              <w:spacing w:before="0" w:after="283"/>
              <w:jc w:val="left"/>
              <w:rPr/>
            </w:pPr>
            <w:r>
              <w:rPr/>
              <w:t>Proceeds from Issuance of Long-term Debt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62,880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2,287</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Net Short-term Bank Borrowings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(32,000</w:t>
            </w:r>
          </w:p>
        </w:tc>
        <w:tc>
          <w:tcPr>
            <w:tcW w:w="122" w:type="dxa"/>
            <w:tcBorders/>
            <w:vAlign w:val="center"/>
          </w:tcPr>
          <w:p>
            <w:pPr>
              <w:pStyle w:val="TableContents"/>
              <w:bidi w:val="0"/>
              <w:spacing w:before="0" w:after="283"/>
              <w:jc w:val="left"/>
              <w:rPr>
                <w:b/>
              </w:rPr>
            </w:pPr>
            <w:r>
              <w:rPr>
                <w:b/>
              </w:rPr>
              <w:t>)</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14,500</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Deferred Debt Issuance Expense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(107</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(82</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Proceeds from Issuance of Common Stock</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5,745</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7,039</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Payment of Common Dividends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(11,049</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(10,184</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vAlign w:val="center"/>
          </w:tcPr>
          <w:p>
            <w:pPr>
              <w:pStyle w:val="TableContents"/>
              <w:bidi w:val="0"/>
              <w:spacing w:before="0" w:after="283"/>
              <w:jc w:val="left"/>
              <w:rPr/>
            </w:pPr>
            <w:r>
              <w:rPr/>
              <w:t>Payment of Preferred Dividends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b/>
              </w:rPr>
            </w:pPr>
            <w:r>
              <w:rPr>
                <w:b/>
              </w:rPr>
              <w:t>(60</w:t>
            </w:r>
          </w:p>
        </w:tc>
        <w:tc>
          <w:tcPr>
            <w:tcW w:w="122" w:type="dxa"/>
            <w:tcBorders/>
            <w:vAlign w:val="center"/>
          </w:tcPr>
          <w:p>
            <w:pPr>
              <w:pStyle w:val="TableContents"/>
              <w:bidi w:val="0"/>
              <w:spacing w:before="0" w:after="283"/>
              <w:jc w:val="left"/>
              <w:rPr>
                <w:b/>
              </w:rPr>
            </w:pPr>
            <w:r>
              <w:rPr>
                <w:b/>
              </w:rPr>
              <w:t>)</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(60</w:t>
            </w:r>
          </w:p>
        </w:tc>
        <w:tc>
          <w:tcPr>
            <w:tcW w:w="144" w:type="dxa"/>
            <w:tcBorders/>
            <w:vAlign w:val="center"/>
          </w:tcPr>
          <w:p>
            <w:pPr>
              <w:pStyle w:val="TableContents"/>
              <w:bidi w:val="0"/>
              <w:spacing w:before="0" w:after="283"/>
              <w:jc w:val="left"/>
              <w:rPr/>
            </w:pPr>
            <w:r>
              <w:rPr/>
              <w:t>)</w:t>
            </w:r>
          </w:p>
        </w:tc>
      </w:tr>
      <w:tr>
        <w:trPr/>
        <w:tc>
          <w:tcPr>
            <w:tcW w:w="7495" w:type="dxa"/>
            <w:tcBorders/>
            <w:shd w:fill="CCEEFF" w:val="clear"/>
            <w:vAlign w:val="center"/>
          </w:tcPr>
          <w:p>
            <w:pPr>
              <w:pStyle w:val="TableContents"/>
              <w:bidi w:val="0"/>
              <w:spacing w:before="0" w:after="283"/>
              <w:jc w:val="left"/>
              <w:rPr/>
            </w:pPr>
            <w:r>
              <w:rPr/>
              <w:t>Construction Advances and Contributions-Net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(959</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(1,191</w:t>
            </w:r>
          </w:p>
        </w:tc>
        <w:tc>
          <w:tcPr>
            <w:tcW w:w="144" w:type="dxa"/>
            <w:tcBorders/>
            <w:shd w:fill="CCEEFF" w:val="clear"/>
            <w:vAlign w:val="center"/>
          </w:tcPr>
          <w:p>
            <w:pPr>
              <w:pStyle w:val="TableContents"/>
              <w:bidi w:val="0"/>
              <w:spacing w:before="0" w:after="283"/>
              <w:jc w:val="left"/>
              <w:rPr/>
            </w:pPr>
            <w:r>
              <w:rPr/>
              <w:t>)</w:t>
            </w:r>
          </w:p>
        </w:tc>
      </w:tr>
      <w:tr>
        <w:trPr/>
        <w:tc>
          <w:tcPr>
            <w:tcW w:w="74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95"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FINANCING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21,897</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10,147</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5" w:type="dxa"/>
            <w:tcBorders>
              <w:bottom w:val="single" w:sz="8" w:space="0" w:color="000000"/>
            </w:tcBorders>
            <w:tcMar>
              <w:bottom w:w="28" w:type="dxa"/>
            </w:tcMar>
            <w:vAlign w:val="center"/>
          </w:tcPr>
          <w:p>
            <w:pPr>
              <w:pStyle w:val="TableContents"/>
              <w:bidi w:val="0"/>
              <w:spacing w:before="0" w:after="283"/>
              <w:jc w:val="left"/>
              <w:rPr/>
            </w:pPr>
            <w:r>
              <w:rPr/>
              <w:t>NET CHANGES IN CASH, CASH EQUIVALENTS AND RESTRICTED CASH</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b/>
              </w:rPr>
            </w:pPr>
            <w:r>
              <w:rPr>
                <w:b/>
              </w:rPr>
              <w:t>549</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tcMar>
              <w:bottom w:w="28" w:type="dxa"/>
            </w:tcMar>
            <w:vAlign w:val="center"/>
          </w:tcPr>
          <w:p>
            <w:pPr>
              <w:pStyle w:val="TableContents"/>
              <w:bidi w:val="0"/>
              <w:spacing w:before="0" w:after="283"/>
              <w:jc w:val="right"/>
              <w:rPr/>
            </w:pPr>
            <w:r>
              <w:rPr/>
              <w:t>787</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95" w:type="dxa"/>
            <w:tcBorders>
              <w:bottom w:val="single" w:sz="8" w:space="0" w:color="000000"/>
            </w:tcBorders>
            <w:shd w:fill="CCEEFF" w:val="clear"/>
            <w:tcMar>
              <w:bottom w:w="28" w:type="dxa"/>
            </w:tcMar>
            <w:vAlign w:val="center"/>
          </w:tcPr>
          <w:p>
            <w:pPr>
              <w:pStyle w:val="TableContents"/>
              <w:bidi w:val="0"/>
              <w:spacing w:before="0" w:after="283"/>
              <w:jc w:val="left"/>
              <w:rPr/>
            </w:pPr>
            <w:r>
              <w:rPr/>
              <w:t>CASH, CASH EQUIVALENTS AND RESTRICTED CASH AT BEGINNING OF PERIOD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3,828</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3,533</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5" w:type="dxa"/>
            <w:tcBorders>
              <w:bottom w:val="single" w:sz="8" w:space="0" w:color="000000"/>
            </w:tcBorders>
            <w:tcMar>
              <w:bottom w:w="28" w:type="dxa"/>
            </w:tcMar>
            <w:vAlign w:val="center"/>
          </w:tcPr>
          <w:p>
            <w:pPr>
              <w:pStyle w:val="TableContents"/>
              <w:bidi w:val="0"/>
              <w:spacing w:before="0" w:after="283"/>
              <w:jc w:val="left"/>
              <w:rPr/>
            </w:pPr>
            <w:r>
              <w:rPr/>
              <w:t>CASH, CASH EQUIVALENTS AND RESTRICTED CASH AT END OF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74" w:type="dxa"/>
            <w:tcBorders>
              <w:bottom w:val="single" w:sz="8" w:space="0" w:color="000000"/>
            </w:tcBorders>
            <w:tcMar>
              <w:bottom w:w="28" w:type="dxa"/>
            </w:tcMar>
            <w:vAlign w:val="center"/>
          </w:tcPr>
          <w:p>
            <w:pPr>
              <w:pStyle w:val="TableContents"/>
              <w:bidi w:val="0"/>
              <w:spacing w:before="0" w:after="283"/>
              <w:jc w:val="right"/>
              <w:rPr>
                <w:b/>
              </w:rPr>
            </w:pPr>
            <w:r>
              <w:rPr>
                <w:b/>
              </w:rPr>
              <w:t>4,377</w:t>
            </w:r>
          </w:p>
        </w:tc>
        <w:tc>
          <w:tcPr>
            <w:tcW w:w="122"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974" w:type="dxa"/>
            <w:tcBorders>
              <w:bottom w:val="single" w:sz="8" w:space="0" w:color="000000"/>
            </w:tcBorders>
            <w:tcMar>
              <w:bottom w:w="28" w:type="dxa"/>
            </w:tcMar>
            <w:vAlign w:val="center"/>
          </w:tcPr>
          <w:p>
            <w:pPr>
              <w:pStyle w:val="TableContents"/>
              <w:bidi w:val="0"/>
              <w:spacing w:before="0" w:after="283"/>
              <w:jc w:val="right"/>
              <w:rPr/>
            </w:pPr>
            <w:r>
              <w:rPr/>
              <w:t>4,320</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SUPPLEMENTAL DISCLOSURE OF NON-CASH ACTIVITY: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Utility Plant received as Construction Advances and Contributions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974" w:type="dxa"/>
            <w:tcBorders/>
            <w:vAlign w:val="center"/>
          </w:tcPr>
          <w:p>
            <w:pPr>
              <w:pStyle w:val="TableContents"/>
              <w:bidi w:val="0"/>
              <w:spacing w:before="0" w:after="283"/>
              <w:jc w:val="right"/>
              <w:rPr>
                <w:b/>
              </w:rPr>
            </w:pPr>
            <w:r>
              <w:rPr>
                <w:b/>
              </w:rPr>
              <w:t>4,219</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right"/>
              <w:rPr/>
            </w:pPr>
            <w:r>
              <w:rPr/>
              <w:t>4,321</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Non-Cash Consideration for Sale of Subsidiary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974" w:type="dxa"/>
            <w:tcBorders/>
            <w:shd w:fill="CCEEFF" w:val="cle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2,100</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SUPPLEMENTAL DISCLOSURE OF CASH FLOWS INFORMATION: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Cash Paid During the Year for:</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r>
      <w:tr>
        <w:trPr/>
        <w:tc>
          <w:tcPr>
            <w:tcW w:w="7495"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974" w:type="dxa"/>
            <w:tcBorders/>
            <w:shd w:fill="CCEEFF" w:val="clear"/>
            <w:vAlign w:val="center"/>
          </w:tcPr>
          <w:p>
            <w:pPr>
              <w:pStyle w:val="TableContents"/>
              <w:bidi w:val="0"/>
              <w:spacing w:before="0" w:after="283"/>
              <w:jc w:val="right"/>
              <w:rPr>
                <w:b/>
              </w:rPr>
            </w:pPr>
            <w:r>
              <w:rPr>
                <w:b/>
              </w:rPr>
              <w:t>5,491</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4,245</w:t>
            </w:r>
          </w:p>
        </w:tc>
        <w:tc>
          <w:tcPr>
            <w:tcW w:w="144" w:type="dxa"/>
            <w:tcBorders/>
            <w:shd w:fill="CCEEFF" w:val="clear"/>
            <w:vAlign w:val="center"/>
          </w:tcPr>
          <w:p>
            <w:pPr>
              <w:pStyle w:val="TableContents"/>
              <w:bidi w:val="0"/>
              <w:spacing w:before="0" w:after="283"/>
              <w:jc w:val="left"/>
              <w:rPr/>
            </w:pPr>
            <w:r>
              <w:rPr/>
              <w:t> </w:t>
            </w:r>
          </w:p>
        </w:tc>
      </w:tr>
      <w:tr>
        <w:trPr/>
        <w:tc>
          <w:tcPr>
            <w:tcW w:w="7495" w:type="dxa"/>
            <w:tcBorders/>
            <w:vAlign w:val="center"/>
          </w:tcPr>
          <w:p>
            <w:pPr>
              <w:pStyle w:val="TableContents"/>
              <w:bidi w:val="0"/>
              <w:spacing w:before="0" w:after="283"/>
              <w:jc w:val="left"/>
              <w:rPr/>
            </w:pPr>
            <w:r>
              <w:rPr/>
              <w:t>Interest Capitalized</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974" w:type="dxa"/>
            <w:tcBorders/>
            <w:vAlign w:val="center"/>
          </w:tcPr>
          <w:p>
            <w:pPr>
              <w:pStyle w:val="TableContents"/>
              <w:bidi w:val="0"/>
              <w:spacing w:before="0" w:after="283"/>
              <w:jc w:val="right"/>
              <w:rPr>
                <w:b/>
              </w:rPr>
            </w:pPr>
            <w:r>
              <w:rPr>
                <w:b/>
              </w:rPr>
              <w:t>651</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right"/>
              <w:rPr/>
            </w:pPr>
            <w:r>
              <w:rPr/>
              <w:t>394</w:t>
            </w:r>
          </w:p>
        </w:tc>
        <w:tc>
          <w:tcPr>
            <w:tcW w:w="144" w:type="dxa"/>
            <w:tcBorders/>
            <w:vAlign w:val="center"/>
          </w:tcPr>
          <w:p>
            <w:pPr>
              <w:pStyle w:val="TableContents"/>
              <w:bidi w:val="0"/>
              <w:spacing w:before="0" w:after="283"/>
              <w:jc w:val="left"/>
              <w:rPr/>
            </w:pPr>
            <w:r>
              <w:rPr/>
              <w:t> </w:t>
            </w:r>
          </w:p>
        </w:tc>
      </w:tr>
      <w:tr>
        <w:trPr/>
        <w:tc>
          <w:tcPr>
            <w:tcW w:w="7495" w:type="dxa"/>
            <w:tcBorders>
              <w:bottom w:val="single" w:sz="8" w:space="0" w:color="000000"/>
            </w:tcBorders>
            <w:shd w:fill="CCEEFF" w:val="clear"/>
            <w:tcMar>
              <w:bottom w:w="28" w:type="dxa"/>
            </w:tcMar>
            <w:vAlign w:val="center"/>
          </w:tcPr>
          <w:p>
            <w:pPr>
              <w:pStyle w:val="TableContents"/>
              <w:bidi w:val="0"/>
              <w:spacing w:before="0" w:after="283"/>
              <w:jc w:val="left"/>
              <w:rPr/>
            </w:pPr>
            <w:r>
              <w:rPr/>
              <w:t>Income Taxes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260</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575</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caps w:val="false"/>
          <w:smallCaps w:val="false"/>
        </w:rPr>
      </w:pPr>
      <w:bookmarkStart w:id="6" w:name="a_004"/>
      <w:bookmarkEnd w:id="6"/>
      <w:r>
        <w:rPr>
          <w:caps w:val="false"/>
          <w:smallCaps w:val="false"/>
        </w:rPr>
        <w:t> </w:t>
      </w:r>
      <w:r>
        <w:rPr>
          <w:rFonts w:ascii="Times New Roman;Times;Serif" w:hAnsi="Times New Roman;Times;Serif"/>
          <w:b/>
          <w:i w:val="false"/>
          <w:caps w:val="false"/>
          <w:smallCaps w:val="false"/>
          <w:sz w:val="20"/>
        </w:rPr>
        <w:t>CONDENSED CONSOLIDATED STATEMENTS OF CAPITAL STOCK AND LONG-TERM DEBT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8289" w:type="dxa"/>
        <w:jc w:val="left"/>
        <w:tblInd w:w="0" w:type="dxa"/>
        <w:tblLayout w:type="fixed"/>
        <w:tblCellMar>
          <w:top w:w="0" w:type="dxa"/>
          <w:left w:w="0" w:type="dxa"/>
          <w:bottom w:w="0" w:type="dxa"/>
          <w:right w:w="0" w:type="dxa"/>
        </w:tblCellMar>
      </w:tblPr>
      <w:tblGrid>
        <w:gridCol w:w="5705"/>
        <w:gridCol w:w="60"/>
        <w:gridCol w:w="140"/>
        <w:gridCol w:w="800"/>
        <w:gridCol w:w="95"/>
        <w:gridCol w:w="60"/>
        <w:gridCol w:w="189"/>
        <w:gridCol w:w="1089"/>
        <w:gridCol w:w="151"/>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3"/>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December 31,</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5705" w:type="dxa"/>
            <w:tcBorders/>
            <w:shd w:fill="CCEEFF" w:val="clear"/>
            <w:vAlign w:val="center"/>
          </w:tcPr>
          <w:p>
            <w:pPr>
              <w:pStyle w:val="TableContents"/>
              <w:bidi w:val="0"/>
              <w:spacing w:before="0" w:after="283"/>
              <w:jc w:val="left"/>
              <w:rPr/>
            </w:pPr>
            <w:r>
              <w:rPr/>
              <w:t>Common Stock, No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Shares Authorized - 40,000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0"/>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- 2023 - 17,729; 2022 - 17,642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239,545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233,054</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Retained Earnings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171,932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167,274</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TOTAL COMMON EQUITY</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411,477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400,328</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Cumulative Preferred Stock, No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Shares Authorized - 120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0"/>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- 20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0"/>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Convertible: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$7.00 Series - 10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1,005</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Nonredeemable: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$7.00 Series -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79</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Shares Outstanding, $4.75 Series - 10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1,000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1,000</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TOTAL PREFERRED STOCK</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2,084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2,084</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First Mortgage Bonds, 0.00%-5.50%, due 2023-2059</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291,496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252,269</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Amortizing Secured Notes, 3.94%-7.05%, due 2028-2046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63,571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44,918</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bottom w:val="single" w:sz="8" w:space="0" w:color="000000"/>
            </w:tcBorders>
            <w:tcMar>
              <w:bottom w:w="28" w:type="dxa"/>
            </w:tcMar>
            <w:vAlign w:val="center"/>
          </w:tcPr>
          <w:p>
            <w:pPr>
              <w:pStyle w:val="TableContents"/>
              <w:bidi w:val="0"/>
              <w:spacing w:before="0" w:after="0"/>
              <w:jc w:val="left"/>
              <w:rPr/>
            </w:pPr>
            <w:r>
              <w:rPr/>
              <w:t>State Revolving Trust Notes, 2.00%-4.03%, due 2025-2044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11,645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9,200</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SUBTOTAL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366,712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306,387</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Add: Premium on Issuance of Long-term Debt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6,675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6,873</w:t>
            </w:r>
          </w:p>
        </w:tc>
        <w:tc>
          <w:tcPr>
            <w:tcW w:w="151"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Less: Unamortized Debt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(5,481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(5,518</w:t>
            </w:r>
          </w:p>
        </w:tc>
        <w:tc>
          <w:tcPr>
            <w:tcW w:w="151" w:type="dxa"/>
            <w:tcBorders/>
            <w:shd w:fill="CCEEFF" w:val="clear"/>
            <w:vAlign w:val="center"/>
          </w:tcPr>
          <w:p>
            <w:pPr>
              <w:pStyle w:val="TableContents"/>
              <w:bidi w:val="0"/>
              <w:spacing w:before="0" w:after="283"/>
              <w:jc w:val="left"/>
              <w:rPr/>
            </w:pPr>
            <w:r>
              <w:rPr/>
              <w:t>)</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Less: Current Portion of Long-term Debt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rPr>
            </w:pPr>
            <w:r>
              <w:rPr>
                <w:b/>
              </w:rPr>
              <w:t>(17,460</w:t>
            </w:r>
          </w:p>
        </w:tc>
        <w:tc>
          <w:tcPr>
            <w:tcW w:w="9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tcMar>
              <w:bottom w:w="28" w:type="dxa"/>
            </w:tcMar>
            <w:vAlign w:val="center"/>
          </w:tcPr>
          <w:p>
            <w:pPr>
              <w:pStyle w:val="TableContents"/>
              <w:bidi w:val="0"/>
              <w:spacing w:before="0" w:after="283"/>
              <w:jc w:val="right"/>
              <w:rPr/>
            </w:pPr>
            <w:r>
              <w:rPr/>
              <w:t>(17,462</w:t>
            </w:r>
          </w:p>
        </w:tc>
        <w:tc>
          <w:tcPr>
            <w:tcW w:w="151"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TOTAL LONG-TERM DEBT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350,446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290,280</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CONDENSED CONSOLIDATED STATEMENTS OF COMMON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4640"/>
        <w:gridCol w:w="60"/>
        <w:gridCol w:w="65"/>
        <w:gridCol w:w="639"/>
        <w:gridCol w:w="66"/>
        <w:gridCol w:w="60"/>
        <w:gridCol w:w="125"/>
        <w:gridCol w:w="695"/>
        <w:gridCol w:w="80"/>
        <w:gridCol w:w="60"/>
        <w:gridCol w:w="125"/>
        <w:gridCol w:w="695"/>
        <w:gridCol w:w="80"/>
        <w:gridCol w:w="60"/>
        <w:gridCol w:w="125"/>
        <w:gridCol w:w="695"/>
        <w:gridCol w:w="95"/>
      </w:tblGrid>
      <w:tr>
        <w:trPr/>
        <w:tc>
          <w:tcPr>
            <w:tcW w:w="4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r>
      <w:tr>
        <w:trPr/>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vAlign w:val="center"/>
          </w:tcPr>
          <w:p>
            <w:pPr>
              <w:pStyle w:val="TableContents"/>
              <w:bidi w:val="0"/>
              <w:spacing w:before="0" w:after="283"/>
              <w:jc w:val="righ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April 1,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17,551</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225,092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152,790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377,882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($0.2900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17,604</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229,037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156,531</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385,568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January 1,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17,522</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221,919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145,807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367,726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($0.5800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17,604</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229,037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156,531</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385,568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April 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17,671</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235,756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167,599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403,355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($0.3125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17,729</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239,545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171,932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411,477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January 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17,642</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167,274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400,328</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0"/>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($0.6250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17,729</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239,545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171,932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411,477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NOTES TO UNAUDITED CONDENSED CONSOLIDATED FINANCIAL STATEMENTS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 and Recent Developments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notes within the 2022 Annual Report on Form 10-K (the 2022 Form 10-K) are applicable to these financial statements and, in the opinion of the Company, the accompanying unaudited condensed consolidated financial statements contain all adjustments necessary (including normal recurring accruals) to present fairly the financial position as of June 30, 2023, the results of operations for the three and six month periods ended June 30, 2023 and 2022 and cash flows for the six month periods ended June 30, 2023 and 2022. Information included in the Condensed Consolidated Balance Sheet as of December 31, 2022, has been derived from the Company’s December 31, 2022 audited financial statements included in the 2022 Form 10-K.</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Developments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Middlesex President and Chief Executive Officer Retirement Announcement - </w:t>
      </w:r>
      <w:r>
        <w:rPr>
          <w:rFonts w:ascii="Times New Roman;Times;Serif" w:hAnsi="Times New Roman;Times;Serif"/>
          <w:b w:val="false"/>
          <w:i w:val="false"/>
          <w:caps w:val="false"/>
          <w:smallCaps w:val="false"/>
          <w:sz w:val="20"/>
        </w:rPr>
        <w:t>On May 16, 2023, President and Chief Executive Officer, Dennis W. Doll announced a plan to retire upon turning age 65. Mr. Doll’s retirement is planned for the later of December 31, 2023 or, the date when a successor is duly named and effectively transitioned into the position. Mr. Doll will remain a member of the Middlesex Board of Directors (Board) through the expiration of his current term in May 2024. A search for Mr. Doll’s successor is being led by the Compensation Committee of the Board in collaboration with  a nationally-recognized executive search firm.</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Regulatory Notice of Non-Compliance – </w:t>
      </w:r>
      <w:r>
        <w:rPr>
          <w:rFonts w:ascii="Times New Roman;Times;Serif" w:hAnsi="Times New Roman;Times;Serif"/>
          <w:b w:val="false"/>
          <w:i w:val="false"/>
          <w:caps w:val="false"/>
          <w:smallCaps w:val="false"/>
          <w:sz w:val="20"/>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standard promulgated in a NJDEP regulation that became effective in 2021. The NJDEP standard for PFOA was developed based on a Health-based Maximum Contaminant Level of 14 parts per trillion. Neither the NJDEP nor Middlesex had characterized this exceedance as an acute health threat. However, Middlesex was required by the regulation to notify its affected customers and complied in November 2021.</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further required the Company to take any action necessary to comply with the new standard by September 7, 2022. Prior to 2021, the Company began design for construction of an enhanced treatment process at the Park Avenue Wellfield Treatment Plant to comply with the new standard prior to the regulation being enacted. At that time, the completion of enhanced treatment process was not expected until mid-2023. Consequently, in November 2021, the Company implemented an interim solution to meet the Notice requirements, which included putting the Park Avenue Wellfield Treatment Plant in off-line status and obtaining alternate sources of supply. In June 2022, the Company accelerated the in-service date for a portion of the enhanced treatment project that allowed a restart of the Park Avenue Wellfield Treatment Plant to ensure compliance with all state and federal drinking water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2022, the Company entered into an Administrative Consent Order (ACO) with the NJDEP, which requires the Company to take whatever actions necessary to achieve and maintain compliance with the Safe Drinking Water Act, N.J.S.A, 58:12A-1 et seq., and the Safe Drinking Water Act regulations N.J.A.C. 7:10-1 et seq., including applicable public notifications. The Company’s agreement to enter into an ACO avoided any further Notice regarding the fact that the permanent treatment solution was not in service by September 7, 2022. As prescribed in the ACO, the Company will issue periodic public notifications until the ACO is closed. In addition, in accordance with the ACO:</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or before June 30, 2023, the Company was required to complete the permanent construction of the Park Avenue Wellfield treatment upgrades, place the treatment upgrades into operation, and treat all water at the Park Avenue Wellfield Treatment Plant so as to comply with the PFOA NJDEP standards.</w:t>
            </w:r>
          </w:p>
        </w:tc>
      </w:tr>
    </w:tbl>
    <w:p>
      <w:pPr>
        <w:pStyle w:val="TextBody"/>
        <w:bidi w:val="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must perform required sample testing and reporting for PFOA subsequent to completion of the Park Avenue Wellfield treatment upgrades.</w:t>
            </w:r>
          </w:p>
        </w:tc>
      </w:tr>
    </w:tbl>
    <w:p>
      <w:pPr>
        <w:pStyle w:val="TextBody"/>
        <w:bidi w:val="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Company shall submit to the NJDEP quarterly progress reports detailing the Company’s compliance with the ACO.</w:t>
            </w:r>
          </w:p>
        </w:tc>
      </w:tr>
    </w:tbl>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completed the permanent construction of the Park Avenue Wellfield treatment upgrades, placed the treatment upgrades into operation, and the Company believes all water at the Park Avenue Wellfield Treatment Plant complies with the NJDEP PFOA standards. The Company believes it has complied with all current requirements of the ACO and is awaiting the NJDEP’s confirmation.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had previously initiated a separate lawsuit against the claimed polluter, 3M, seeking to hold 3M accountable for the Company’s claim that 3M introduced perfluoroalkyl substances (commonly known as “PFAS”), which include PFOA, into the Company’s water supply at its Park Avenue Wellfield facility. A trial date is set for October 2, 2023 in the United States District Court for the District of New Jersey in Newark, New Jersey.</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Coronavirus (COVID-19) Pandemic</w:t>
      </w:r>
      <w:r>
        <w:rPr>
          <w:rFonts w:ascii="Times New Roman;Times;Serif" w:hAnsi="Times New Roman;Times;Serif"/>
          <w:b w:val="false"/>
          <w:i w:val="false"/>
          <w:caps w:val="false"/>
          <w:smallCaps w:val="false"/>
          <w:sz w:val="20"/>
        </w:rPr>
        <w:t xml:space="preserve"> – On May 11, 2023, the United States Department of Health and Human Services declared the end of the COVID-19 Pandemic nationwide health emergency.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NJBPU has approved the tracking of COVID-19 related incremental costs for potential recovery in customer rates in future rate proceedings. In May 2023, Middlesex filed a petition to defer consideration of rate recovery of COVID-19 related incremental costs incurred until its next base rate case. The Company has increased its allowance for doubtful accounts for expected higher accounts receivable write-offs due to the financial impact of COVID-19 on customers. We will continue to monitor the effects of COVID-19 and evaluate its impact on the Company’s results of operations, financial condition and liquidity.</w:t>
      </w:r>
    </w:p>
    <w:p>
      <w:pPr>
        <w:pStyle w:val="TextBody"/>
        <w:bidi w:val="0"/>
        <w:ind w:left="72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Accounting Guidance </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new adopted or proposed accounting guidance that the Company is aware of that could have a material impact on the Company’s financial statements.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Rate and Regulatory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Middlesex</w:t>
      </w:r>
      <w:r>
        <w:rPr>
          <w:rFonts w:ascii="Times New Roman;Times;Serif" w:hAnsi="Times New Roman;Times;Serif"/>
          <w:b w:val="false"/>
          <w:i w:val="false"/>
          <w:caps w:val="false"/>
          <w:smallCaps w:val="false"/>
          <w:sz w:val="20"/>
        </w:rPr>
        <w:t xml:space="preserve"> – In May 2023, Middlesex filed a petition with the NJBPU seeking permission to increase annual base water revenues by approximately $34 million. The request was necessitated predominantly by capital infrastructure investments Middlesex has made, or has committed to make, to ensure proper maintenance, development and improvement of its utility assets to support continued regulatory compliance and overall quality of service. We cannot predict when and whether the NJBPU will ultimately approve, deny, or reduce the amount of the request. Under New Jersey statute, the NJPBU must render a decision within nine months of filing a base rate change 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Middlesex and Middlesex customer-owned lead service lines is required by the New Jersey Lead Service Line Replacement Law. In May 2023, Middlesex filed a petition seeking NJBPU approval of Middlesex’s proposed cost recovery of its Lead Service Line Replacement Plan and cost recovery of project costs associated with replacing Middlesex customer-owned lead service lines. Under this legislation, these costs would be recovered through future customer surcharges. Middlesex currently estimates that replacement of Middlesex and Middlesex customer-owned lead service lines will be approximately $57 million to $95 million over a nine-year period. We cannot predict when and whether the NJBPU will ultimately approve, deny, or amend this 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Middlesex filed a petition with the NJBPU seeking approval of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We cannot predict when and whether the NJBPU will ultimately approve, deny, or amend this 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NJBPU approved Middlesex's Emergency Relief Motion to reset its Purchased Water Adjustment Clause tariff rate to recover additional costs of $2.7 million for the purchase of treated water from a non-affiliated water utility. The increase, effective October 1, 2022, is on an interim basis and subject to refund with interest, pending final resolution of this matter, which is expected in the third quarter of 2023.</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Pinelands – </w:t>
      </w:r>
      <w:r>
        <w:rPr>
          <w:rFonts w:ascii="Times New Roman;Times;Serif" w:hAnsi="Times New Roman;Times;Serif"/>
          <w:b w:val="false"/>
          <w:i w:val="false"/>
          <w:caps w:val="false"/>
          <w:smallCaps w:val="false"/>
          <w:sz w:val="20"/>
        </w:rPr>
        <w:t>On April 12, 2023, Pinelands Water and Pinelands Wastewater concluded their base rate case matters when the NJBPU approved a combined $1.0 million increase in annual base rates, effective April 15, 2023. The requests were necessitated by capital infrastructure investments the companies have made as well as increased operations and maintenance costs.</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Twin Lakes Utilities, Inc. (Twin Lakes)</w:t>
      </w:r>
      <w:r>
        <w:rPr>
          <w:rFonts w:ascii="Times New Roman;Times;Serif" w:hAnsi="Times New Roman;Times;Serif"/>
          <w:b w:val="false"/>
          <w:i w:val="false"/>
          <w:caps w:val="false"/>
          <w:smallCaps w:val="false"/>
          <w:sz w:val="20"/>
        </w:rPr>
        <w:t xml:space="preserve"> – 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has subsequently filed a Complaint with the United States District Court for the Middle District of Pennsylvania to address the issue of whether the PAPUC’s Order violated Middlesex’s rights under the United States Constitution. We are currently awaiting the Court’s decision.</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total assets and financial obligations of Twin Lakes are not material to Middlesex.</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Capitalization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 During the six months ended June 30, 2023 and 2022, there were 75,764 common shares (approximately $5.7 million) and 76,547 common shares (approximately $7.0 million) respectively, issued under the Middlesex Water Company Investment Plan (the Investment Plan). </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began offering shares of its common stock for purchase at a 3% discount to participants in the Investment Plan. The discount offering will continue until 200,000 shares are purchased at the discounted price or December 1, 2023, whichever event occurs first. The discount applies to all common stock purchases made under the Investment Plan, whether by optional cash payment or by dividend reinvestment.</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Middlesex received approval from the NJBPU to increase the number of authorized shares under the Investment Plan by 0.7 million shares.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Debt –</w:t>
      </w:r>
      <w:r>
        <w:rPr>
          <w:rFonts w:ascii="Times New Roman;Times;Serif" w:hAnsi="Times New Roman;Times;Serif"/>
          <w:b w:val="false"/>
          <w:i w:val="false"/>
          <w:caps w:val="false"/>
          <w:smallCaps w:val="false"/>
          <w:sz w:val="20"/>
        </w:rPr>
        <w:t xml:space="preserve"> 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has no current projects in the NJIB loan program, it is seeking to have several projects added to the qualified list in order to borrow under the NJIB loan program.</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Middlesex closed on a $40.0 million, 5.24% private placement of First Mortgage Bonds (FMBs) with a 2043 maturity date designated as Series 2023A. Proceeds were used to reduce the Company’s outstanding balances under its bank lines of credit.</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Tidewater closed on a $20.0 million loan from CoBank, ACB (CoBank) with an interest rate of 5.71% and a 2033 maturity date and fully drew all funds by June 30, 2023. Proceeds from the loan were used to pay off Tidewater’s outstanding balances under its bank lines of credit and for other general corporate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Tidewater closed on three Delaware Public Service Commission (DEPSC)-approved Delaware SRF loans totaling $10.2 million, all at interest rates of 2.0% with maturity dates in 2043 and 2044. These loans are for the construction, relocation, improvement, relocation and/or interconnection of transmission mains. Tidewater has drawn a total of $1.3 million through June 30, 2023 and expects that the requisitions will continue through mid-2024.</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Tidewater closed on a DEPSC-approved $5.0 million Delaware SRF loan at an interest rate of 2.0%. The loan was for construction of a one million gallon elevated storage tank. Through June 30, 2023, Tidewater has drawn a total of $4.2 million and expects that the requisitions will continue through the third quarter of 2023. The final maturity date on the loan is 2044.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SRF Program, borrowers submit reimbursement requisitions during the construction period. As the proceeds are received from the requisitions, Tidewater records a corresponding debt obligation amount.</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Pinelands Water and Pinelands Wastewater closed on $3.9 million and $3.6 million CoBank amortizing mortgage type loans, respectively, with an interest rate of 6.17% and a final maturity date of 2043 for each loan. Proceeds were used to pay off outstanding intercompany loans with Middlesex and for ongoing capital projects.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Fair Value of Financial Instruments </w:t>
      </w:r>
      <w:r>
        <w:rPr>
          <w:rFonts w:ascii="Times New Roman;Times;Serif" w:hAnsi="Times New Roman;Times;Serif"/>
          <w:b w:val="false"/>
          <w:i w:val="false"/>
          <w:caps w:val="false"/>
          <w:smallCaps w:val="false"/>
          <w:sz w:val="20"/>
        </w:rPr>
        <w:t xml:space="preserve">– 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FMBs in the table below issued by Middlesex is based on quoted market prices for similar publicly traded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 </w:t>
      </w:r>
    </w:p>
    <w:p>
      <w:pPr>
        <w:pStyle w:val="TextBody"/>
        <w:bidi w:val="0"/>
        <w:jc w:val="both"/>
        <w:rPr>
          <w:caps w:val="false"/>
          <w:smallCaps w:val="false"/>
        </w:rPr>
      </w:pPr>
      <w:r>
        <w:rPr>
          <w:caps w:val="false"/>
          <w:smallCaps w:val="false"/>
        </w:rPr>
        <w:t> </w:t>
      </w:r>
    </w:p>
    <w:p>
      <w:pPr>
        <w:pStyle w:val="TextBody"/>
        <w:bidi w:val="0"/>
        <w:ind w:left="360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75"/>
        <w:gridCol w:w="515"/>
        <w:gridCol w:w="60"/>
        <w:gridCol w:w="60"/>
        <w:gridCol w:w="140"/>
        <w:gridCol w:w="800"/>
        <w:gridCol w:w="60"/>
        <w:gridCol w:w="60"/>
        <w:gridCol w:w="140"/>
        <w:gridCol w:w="800"/>
        <w:gridCol w:w="60"/>
        <w:gridCol w:w="60"/>
        <w:gridCol w:w="140"/>
        <w:gridCol w:w="800"/>
        <w:gridCol w:w="60"/>
        <w:gridCol w:w="60"/>
        <w:gridCol w:w="140"/>
        <w:gridCol w:w="800"/>
        <w:gridCol w:w="75"/>
      </w:tblGrid>
      <w:tr>
        <w:trPr/>
        <w:tc>
          <w:tcPr>
            <w:tcW w:w="65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5" w:type="dxa"/>
            <w:gridSpan w:val="15"/>
            <w:tcBorders/>
            <w:vAlign w:val="center"/>
          </w:tcPr>
          <w:p>
            <w:pPr>
              <w:pStyle w:val="TableContents"/>
              <w:bidi w:val="0"/>
              <w:spacing w:before="0" w:after="283"/>
              <w:jc w:val="center"/>
              <w:rPr/>
            </w:pPr>
            <w:r>
              <w:rPr/>
              <w:t>(Thousands of Dollars)</w:t>
            </w:r>
          </w:p>
        </w:tc>
      </w:tr>
      <w:tr>
        <w:trPr/>
        <w:tc>
          <w:tcPr>
            <w:tcW w:w="65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60" w:type="dxa"/>
            <w:tcBorders/>
            <w:vAlign w:val="center"/>
          </w:tcPr>
          <w:p>
            <w:pPr>
              <w:pStyle w:val="TableContents"/>
              <w:bidi w:val="0"/>
              <w:spacing w:before="0" w:after="283"/>
              <w:jc w:val="left"/>
              <w:rPr/>
            </w:pPr>
            <w:r>
              <w:rPr/>
              <w:t> </w:t>
            </w:r>
          </w:p>
        </w:tc>
        <w:tc>
          <w:tcPr>
            <w:tcW w:w="207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r>
      <w:tr>
        <w:trPr/>
        <w:tc>
          <w:tcPr>
            <w:tcW w:w="65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Fair</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1015" w:type="dxa"/>
            <w:gridSpan w:val="3"/>
            <w:tcBorders/>
            <w:vAlign w:val="center"/>
          </w:tcPr>
          <w:p>
            <w:pPr>
              <w:pStyle w:val="TableContents"/>
              <w:bidi w:val="0"/>
              <w:spacing w:before="0" w:after="283"/>
              <w:jc w:val="center"/>
              <w:rPr/>
            </w:pPr>
            <w:r>
              <w:rPr/>
              <w:t>Fair</w:t>
            </w:r>
          </w:p>
        </w:tc>
      </w:tr>
      <w:tr>
        <w:trPr/>
        <w:tc>
          <w:tcPr>
            <w:tcW w:w="650" w:type="dxa"/>
            <w:gridSpan w:val="3"/>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gridSpan w:val="3"/>
            <w:tcBorders>
              <w:bottom w:val="single" w:sz="8" w:space="0" w:color="000000"/>
            </w:tcBorders>
            <w:tcMar>
              <w:bottom w:w="28" w:type="dxa"/>
            </w:tcMar>
            <w:vAlign w:val="center"/>
          </w:tcPr>
          <w:p>
            <w:pPr>
              <w:pStyle w:val="TableContents"/>
              <w:bidi w:val="0"/>
              <w:spacing w:before="0" w:after="283"/>
              <w:jc w:val="center"/>
              <w:rPr/>
            </w:pPr>
            <w:r>
              <w:rPr/>
              <w:t>Value</w:t>
            </w:r>
          </w:p>
        </w:tc>
      </w:tr>
      <w:tr>
        <w:trPr/>
        <w:tc>
          <w:tcPr>
            <w:tcW w:w="7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20"/>
              </w:rPr>
            </w:pPr>
            <w:r>
              <w:rPr>
                <w:sz w:val="20"/>
              </w:rPr>
              <w:t>FMBs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146,496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147,269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138,756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$220.2 million and $159.1 million at June 30, 2023 and December 31, 2022, respectively. Customer advances for construction have carrying amounts of $21.0 million and $21.4 million at June 30, 2023 and December 31, 2022, respectively. Their relative fair values cannot be accurately estimated since future refund payments depend on several variables, including new customer connections, customer consumption levels and future rate increases.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utility plant of the Company is subject to the lien of its mortgage, which includes debt service and capital ratio covenants. The Company is in compliance with all of its mortgage covenants and restrictions.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Earnings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(EPS) are computed on the basis of the weighted average number of shares outstanding during the period presented. Diluted EPS assumes the conversion of the Convertible Preferred Stock $7.00 Series.</w:t>
      </w:r>
    </w:p>
    <w:p>
      <w:pPr>
        <w:pStyle w:val="TextBody"/>
        <w:bidi w:val="0"/>
        <w:jc w:val="both"/>
        <w:rPr>
          <w:caps w:val="false"/>
          <w:smallCaps w:val="false"/>
        </w:rPr>
      </w:pPr>
      <w:r>
        <w:rPr>
          <w:caps w:val="false"/>
          <w:smallCaps w:val="false"/>
        </w:rPr>
        <w:t> </w:t>
      </w:r>
    </w:p>
    <w:tbl>
      <w:tblPr>
        <w:tblW w:w="8866" w:type="dxa"/>
        <w:jc w:val="left"/>
        <w:tblInd w:w="0" w:type="dxa"/>
        <w:tblLayout w:type="fixed"/>
        <w:tblCellMar>
          <w:top w:w="0" w:type="dxa"/>
          <w:left w:w="0" w:type="dxa"/>
          <w:bottom w:w="0" w:type="dxa"/>
          <w:right w:w="0" w:type="dxa"/>
        </w:tblCellMar>
      </w:tblPr>
      <w:tblGrid>
        <w:gridCol w:w="4730"/>
        <w:gridCol w:w="60"/>
        <w:gridCol w:w="168"/>
        <w:gridCol w:w="675"/>
        <w:gridCol w:w="114"/>
        <w:gridCol w:w="72"/>
        <w:gridCol w:w="72"/>
        <w:gridCol w:w="820"/>
        <w:gridCol w:w="72"/>
        <w:gridCol w:w="72"/>
        <w:gridCol w:w="168"/>
        <w:gridCol w:w="675"/>
        <w:gridCol w:w="114"/>
        <w:gridCol w:w="72"/>
        <w:gridCol w:w="72"/>
        <w:gridCol w:w="820"/>
        <w:gridCol w:w="90"/>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6" w:type="dxa"/>
            <w:gridSpan w:val="15"/>
            <w:tcBorders/>
            <w:vAlign w:val="center"/>
          </w:tcPr>
          <w:p>
            <w:pPr>
              <w:pStyle w:val="TableContents"/>
              <w:bidi w:val="0"/>
              <w:spacing w:before="0" w:after="283"/>
              <w:jc w:val="center"/>
              <w:rPr/>
            </w:pPr>
            <w:r>
              <w:rPr/>
              <w:t>(In Thousands Except per Share Amounts)</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6" w:type="dxa"/>
            <w:gridSpan w:val="15"/>
            <w:tcBorders/>
            <w:vAlign w:val="center"/>
          </w:tcPr>
          <w:p>
            <w:pPr>
              <w:pStyle w:val="TableContents"/>
              <w:bidi w:val="0"/>
              <w:spacing w:before="0" w:after="283"/>
              <w:jc w:val="center"/>
              <w:rPr/>
            </w:pPr>
            <w:r>
              <w:rPr/>
              <w:t>Three Months Ended June 30,</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3" w:type="dxa"/>
            <w:gridSpan w:val="7"/>
            <w:tcBorders/>
            <w:vAlign w:val="center"/>
          </w:tcPr>
          <w:p>
            <w:pPr>
              <w:pStyle w:val="TableContents"/>
              <w:bidi w:val="0"/>
              <w:spacing w:before="0" w:after="283"/>
              <w:jc w:val="center"/>
              <w:rPr/>
            </w:pPr>
            <w:r>
              <w:rPr/>
              <w:t>2023</w:t>
            </w:r>
          </w:p>
        </w:tc>
        <w:tc>
          <w:tcPr>
            <w:tcW w:w="72" w:type="dxa"/>
            <w:tcBorders/>
            <w:vAlign w:val="center"/>
          </w:tcPr>
          <w:p>
            <w:pPr>
              <w:pStyle w:val="TableContents"/>
              <w:bidi w:val="0"/>
              <w:spacing w:before="0" w:after="283"/>
              <w:jc w:val="left"/>
              <w:rPr/>
            </w:pPr>
            <w:r>
              <w:rPr/>
              <w:t> </w:t>
            </w:r>
          </w:p>
        </w:tc>
        <w:tc>
          <w:tcPr>
            <w:tcW w:w="2011" w:type="dxa"/>
            <w:gridSpan w:val="7"/>
            <w:tcBorders/>
            <w:vAlign w:val="center"/>
          </w:tcPr>
          <w:p>
            <w:pPr>
              <w:pStyle w:val="TableContents"/>
              <w:bidi w:val="0"/>
              <w:spacing w:before="0" w:after="283"/>
              <w:jc w:val="center"/>
              <w:rPr/>
            </w:pPr>
            <w:r>
              <w:rPr/>
              <w:t>2022</w:t>
            </w:r>
          </w:p>
        </w:tc>
      </w:tr>
      <w:tr>
        <w:trPr/>
        <w:tc>
          <w:tcPr>
            <w:tcW w:w="4730" w:type="dxa"/>
            <w:tcBorders>
              <w:bottom w:val="single" w:sz="8" w:space="0" w:color="000000"/>
            </w:tcBorders>
            <w:tcMar>
              <w:bottom w:w="28" w:type="dxa"/>
            </w:tcMar>
            <w:vAlign w:val="center"/>
          </w:tcPr>
          <w:p>
            <w:pPr>
              <w:pStyle w:val="TableContents"/>
              <w:bidi w:val="0"/>
              <w:spacing w:before="0" w:after="283"/>
              <w:jc w:val="left"/>
              <w:rPr>
                <w:b/>
              </w:rPr>
            </w:pPr>
            <w:r>
              <w:rPr>
                <w:b/>
              </w:rPr>
              <w:t>Basic:</w:t>
            </w:r>
            <w:r>
              <w:rPr>
                <w:b/>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7"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957"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r>
      <w:tr>
        <w:trPr/>
        <w:tc>
          <w:tcPr>
            <w:tcW w:w="473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9,901</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17,713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8,868</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17,583</w:t>
            </w:r>
          </w:p>
        </w:tc>
        <w:tc>
          <w:tcPr>
            <w:tcW w:w="9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Preferred Dividend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tcMar>
              <w:bottom w:w="28" w:type="dxa"/>
            </w:tcMar>
            <w:vAlign w:val="center"/>
          </w:tcPr>
          <w:p>
            <w:pPr>
              <w:pStyle w:val="TableContents"/>
              <w:bidi w:val="0"/>
              <w:spacing w:before="0" w:after="283"/>
              <w:jc w:val="right"/>
              <w:rPr/>
            </w:pPr>
            <w:r>
              <w:rPr/>
              <w:t>(30</w:t>
            </w:r>
          </w:p>
        </w:tc>
        <w:tc>
          <w:tcPr>
            <w:tcW w:w="114" w:type="dxa"/>
            <w:tcBorders>
              <w:bottom w:val="single" w:sz="8" w:space="0" w:color="000000"/>
            </w:tcBorders>
            <w:tcMar>
              <w:bottom w:w="28" w:type="dxa"/>
            </w:tcMar>
            <w:vAlign w:val="center"/>
          </w:tcPr>
          <w:p>
            <w:pPr>
              <w:pStyle w:val="TableContents"/>
              <w:bidi w:val="0"/>
              <w:spacing w:before="0" w:after="283"/>
              <w:jc w:val="left"/>
              <w:rPr/>
            </w:pPr>
            <w:r>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83"/>
              <w:jc w:val="righ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tcMar>
              <w:bottom w:w="28" w:type="dxa"/>
            </w:tcMar>
            <w:vAlign w:val="center"/>
          </w:tcPr>
          <w:p>
            <w:pPr>
              <w:pStyle w:val="TableContents"/>
              <w:bidi w:val="0"/>
              <w:spacing w:before="0" w:after="283"/>
              <w:jc w:val="right"/>
              <w:rPr/>
            </w:pPr>
            <w:r>
              <w:rPr/>
              <w:t>(30</w:t>
            </w:r>
          </w:p>
        </w:tc>
        <w:tc>
          <w:tcPr>
            <w:tcW w:w="114" w:type="dxa"/>
            <w:tcBorders>
              <w:bottom w:val="single" w:sz="8" w:space="0" w:color="000000"/>
            </w:tcBorders>
            <w:tcMar>
              <w:bottom w:w="28" w:type="dxa"/>
            </w:tcMar>
            <w:vAlign w:val="center"/>
          </w:tcPr>
          <w:p>
            <w:pPr>
              <w:pStyle w:val="TableContents"/>
              <w:bidi w:val="0"/>
              <w:spacing w:before="0" w:after="283"/>
              <w:jc w:val="left"/>
              <w:rPr/>
            </w:pPr>
            <w:r>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Earnings Applicable to Common Stock</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9,871</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17,713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8,838</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17,583</w:t>
            </w:r>
          </w:p>
        </w:tc>
        <w:tc>
          <w:tcPr>
            <w:tcW w:w="9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Basic EPS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0.56</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5" w:type="dxa"/>
            <w:tcBorders/>
            <w:shd w:fill="CCEEFF" w:val="clear"/>
            <w:vAlign w:val="center"/>
          </w:tcPr>
          <w:p>
            <w:pPr>
              <w:pStyle w:val="TableContents"/>
              <w:bidi w:val="0"/>
              <w:spacing w:before="0" w:after="283"/>
              <w:jc w:val="right"/>
              <w:rPr/>
            </w:pPr>
            <w:r>
              <w:rPr/>
              <w:t>0.50</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r>
      <w:tr>
        <w:trPr/>
        <w:tc>
          <w:tcPr>
            <w:tcW w:w="473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Diluted: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Earnings Applicable to Common Stock</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right"/>
              <w:rPr/>
            </w:pPr>
            <w:r>
              <w:rPr/>
              <w:t>9,871</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17,713</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right"/>
              <w:rPr/>
            </w:pPr>
            <w:r>
              <w:rPr/>
              <w:t>8,838</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17,583</w:t>
            </w:r>
          </w:p>
        </w:tc>
        <w:tc>
          <w:tcPr>
            <w:tcW w:w="90" w:type="dxa"/>
            <w:tcBorders/>
            <w:vAlign w:val="center"/>
          </w:tcPr>
          <w:p>
            <w:pPr>
              <w:pStyle w:val="TableContents"/>
              <w:bidi w:val="0"/>
              <w:spacing w:before="0" w:after="283"/>
              <w:jc w:val="left"/>
              <w:rPr/>
            </w:pPr>
            <w:r>
              <w:rPr/>
              <w:t> </w:t>
            </w:r>
          </w:p>
        </w:tc>
      </w:tr>
      <w:tr>
        <w:trPr/>
        <w:tc>
          <w:tcPr>
            <w:tcW w:w="4730" w:type="dxa"/>
            <w:tcBorders>
              <w:bottom w:val="single" w:sz="8" w:space="0" w:color="000000"/>
            </w:tcBorders>
            <w:shd w:fill="CCEEFF" w:val="clear"/>
            <w:tcMar>
              <w:bottom w:w="28" w:type="dxa"/>
            </w:tcMar>
            <w:vAlign w:val="center"/>
          </w:tcPr>
          <w:p>
            <w:pPr>
              <w:pStyle w:val="TableContents"/>
              <w:bidi w:val="0"/>
              <w:spacing w:before="0" w:after="283"/>
              <w:jc w:val="left"/>
              <w:rPr/>
            </w:pPr>
            <w:r>
              <w:rPr/>
              <w:t>$7.00 Series Preferred Dividend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Adjusted Earnings Applicable to  Common Stock</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right"/>
              <w:rPr/>
            </w:pPr>
            <w:r>
              <w:rPr/>
              <w:t>9,888</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17,828</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right"/>
              <w:rPr/>
            </w:pPr>
            <w:r>
              <w:rPr/>
              <w:t>8,855</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17,698</w:t>
            </w:r>
          </w:p>
        </w:tc>
        <w:tc>
          <w:tcPr>
            <w:tcW w:w="9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Diluted EPS</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right"/>
              <w:rPr/>
            </w:pPr>
            <w:r>
              <w:rPr/>
              <w:t>0.55</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675" w:type="dxa"/>
            <w:tcBorders/>
            <w:vAlign w:val="center"/>
          </w:tcPr>
          <w:p>
            <w:pPr>
              <w:pStyle w:val="TableContents"/>
              <w:bidi w:val="0"/>
              <w:spacing w:before="0" w:after="283"/>
              <w:jc w:val="right"/>
              <w:rPr/>
            </w:pPr>
            <w:r>
              <w:rPr/>
              <w:t>0.50</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4730"/>
        <w:gridCol w:w="60"/>
        <w:gridCol w:w="157"/>
        <w:gridCol w:w="766"/>
        <w:gridCol w:w="107"/>
        <w:gridCol w:w="67"/>
        <w:gridCol w:w="67"/>
        <w:gridCol w:w="766"/>
        <w:gridCol w:w="67"/>
        <w:gridCol w:w="67"/>
        <w:gridCol w:w="157"/>
        <w:gridCol w:w="766"/>
        <w:gridCol w:w="107"/>
        <w:gridCol w:w="67"/>
        <w:gridCol w:w="67"/>
        <w:gridCol w:w="766"/>
        <w:gridCol w:w="84"/>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8" w:type="dxa"/>
            <w:gridSpan w:val="15"/>
            <w:tcBorders/>
            <w:vAlign w:val="center"/>
          </w:tcPr>
          <w:p>
            <w:pPr>
              <w:pStyle w:val="TableContents"/>
              <w:bidi w:val="0"/>
              <w:spacing w:before="0" w:after="283"/>
              <w:jc w:val="center"/>
              <w:rPr/>
            </w:pPr>
            <w:r>
              <w:rPr/>
              <w:t>(In Thousands Except per Share Amounts)</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8" w:type="dxa"/>
            <w:gridSpan w:val="15"/>
            <w:tcBorders/>
            <w:vAlign w:val="center"/>
          </w:tcPr>
          <w:p>
            <w:pPr>
              <w:pStyle w:val="TableContents"/>
              <w:bidi w:val="0"/>
              <w:spacing w:before="0" w:after="283"/>
              <w:jc w:val="center"/>
              <w:rPr/>
            </w:pPr>
            <w:r>
              <w:rPr/>
              <w:t>Six Months Ended June 30,</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7"/>
            <w:tcBorders/>
            <w:vAlign w:val="center"/>
          </w:tcPr>
          <w:p>
            <w:pPr>
              <w:pStyle w:val="TableContents"/>
              <w:bidi w:val="0"/>
              <w:spacing w:before="0" w:after="283"/>
              <w:jc w:val="center"/>
              <w:rPr/>
            </w:pPr>
            <w:r>
              <w:rPr/>
              <w:t>2023</w:t>
            </w:r>
          </w:p>
        </w:tc>
        <w:tc>
          <w:tcPr>
            <w:tcW w:w="67" w:type="dxa"/>
            <w:tcBorders/>
            <w:vAlign w:val="center"/>
          </w:tcPr>
          <w:p>
            <w:pPr>
              <w:pStyle w:val="TableContents"/>
              <w:bidi w:val="0"/>
              <w:spacing w:before="0" w:after="283"/>
              <w:jc w:val="left"/>
              <w:rPr/>
            </w:pPr>
            <w:r>
              <w:rPr/>
              <w:t> </w:t>
            </w:r>
          </w:p>
        </w:tc>
        <w:tc>
          <w:tcPr>
            <w:tcW w:w="2014" w:type="dxa"/>
            <w:gridSpan w:val="7"/>
            <w:tcBorders/>
            <w:vAlign w:val="center"/>
          </w:tcPr>
          <w:p>
            <w:pPr>
              <w:pStyle w:val="TableContents"/>
              <w:bidi w:val="0"/>
              <w:spacing w:before="0" w:after="283"/>
              <w:jc w:val="center"/>
              <w:rPr/>
            </w:pPr>
            <w:r>
              <w:rPr/>
              <w:t>2022</w:t>
            </w:r>
          </w:p>
        </w:tc>
      </w:tr>
      <w:tr>
        <w:trPr/>
        <w:tc>
          <w:tcPr>
            <w:tcW w:w="4730" w:type="dxa"/>
            <w:tcBorders>
              <w:bottom w:val="single" w:sz="8" w:space="0" w:color="000000"/>
            </w:tcBorders>
            <w:tcMar>
              <w:bottom w:w="28" w:type="dxa"/>
            </w:tcMar>
            <w:vAlign w:val="center"/>
          </w:tcPr>
          <w:p>
            <w:pPr>
              <w:pStyle w:val="TableContents"/>
              <w:bidi w:val="0"/>
              <w:spacing w:before="0" w:after="283"/>
              <w:jc w:val="left"/>
              <w:rPr>
                <w:b/>
              </w:rPr>
            </w:pPr>
            <w:r>
              <w:rPr>
                <w:b/>
              </w:rPr>
              <w:t>Basic:</w:t>
            </w:r>
            <w:r>
              <w:rPr>
                <w:b/>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917"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r>
      <w:tr>
        <w:trPr/>
        <w:tc>
          <w:tcPr>
            <w:tcW w:w="473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15,767</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17,683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20,968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17,560</w:t>
            </w:r>
          </w:p>
        </w:tc>
        <w:tc>
          <w:tcPr>
            <w:tcW w:w="84"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Preferred Dividend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(60</w:t>
            </w:r>
          </w:p>
        </w:tc>
        <w:tc>
          <w:tcPr>
            <w:tcW w:w="107" w:type="dxa"/>
            <w:tcBorders>
              <w:bottom w:val="single" w:sz="8" w:space="0" w:color="000000"/>
            </w:tcBorders>
            <w:tcMar>
              <w:bottom w:w="28" w:type="dxa"/>
            </w:tcMar>
            <w:vAlign w:val="center"/>
          </w:tcPr>
          <w:p>
            <w:pPr>
              <w:pStyle w:val="TableContents"/>
              <w:bidi w:val="0"/>
              <w:spacing w:before="0" w:after="283"/>
              <w:jc w:val="left"/>
              <w:rPr/>
            </w:pPr>
            <w:r>
              <w:rPr/>
              <w:t>)</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 </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(60</w:t>
            </w:r>
          </w:p>
        </w:tc>
        <w:tc>
          <w:tcPr>
            <w:tcW w:w="107" w:type="dxa"/>
            <w:tcBorders>
              <w:bottom w:val="single" w:sz="8" w:space="0" w:color="000000"/>
            </w:tcBorders>
            <w:tcMar>
              <w:bottom w:w="28" w:type="dxa"/>
            </w:tcMar>
            <w:vAlign w:val="center"/>
          </w:tcPr>
          <w:p>
            <w:pPr>
              <w:pStyle w:val="TableContents"/>
              <w:bidi w:val="0"/>
              <w:spacing w:before="0" w:after="283"/>
              <w:jc w:val="left"/>
              <w:rPr/>
            </w:pPr>
            <w:r>
              <w:rPr/>
              <w:t>)</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Earnings Applicable to Common Stock</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15,707</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17,683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20,908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17,560</w:t>
            </w:r>
          </w:p>
        </w:tc>
        <w:tc>
          <w:tcPr>
            <w:tcW w:w="84"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Basic EPS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0.89</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1.19</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473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Diluted: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Earnings Applicable to Common Stock</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15,707</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17,683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20,908</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17,560</w:t>
            </w:r>
          </w:p>
        </w:tc>
        <w:tc>
          <w:tcPr>
            <w:tcW w:w="84"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$7.00 Series Preferred Dividend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Adjusted Earnings Applicable to  Common Stock</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15,741</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17,798</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20,942</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17,675</w:t>
            </w:r>
          </w:p>
        </w:tc>
        <w:tc>
          <w:tcPr>
            <w:tcW w:w="84"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Diluted EPS</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0.88</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1.18</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Business Segment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pStyle w:val="TextBody"/>
        <w:bidi w:val="0"/>
        <w:jc w:val="left"/>
        <w:rPr>
          <w:caps w:val="false"/>
          <w:smallCaps w:val="false"/>
        </w:rPr>
      </w:pPr>
      <w:r>
        <w:rPr>
          <w:caps w:val="false"/>
          <w:smallCaps w:val="false"/>
        </w:rPr>
        <w:t> </w:t>
      </w:r>
    </w:p>
    <w:tbl>
      <w:tblPr>
        <w:tblW w:w="7103" w:type="dxa"/>
        <w:jc w:val="left"/>
        <w:tblInd w:w="0" w:type="dxa"/>
        <w:tblLayout w:type="fixed"/>
        <w:tblCellMar>
          <w:top w:w="0" w:type="dxa"/>
          <w:left w:w="0" w:type="dxa"/>
          <w:bottom w:w="0" w:type="dxa"/>
          <w:right w:w="0" w:type="dxa"/>
        </w:tblCellMar>
      </w:tblPr>
      <w:tblGrid>
        <w:gridCol w:w="3050"/>
        <w:gridCol w:w="60"/>
        <w:gridCol w:w="150"/>
        <w:gridCol w:w="730"/>
        <w:gridCol w:w="102"/>
        <w:gridCol w:w="64"/>
        <w:gridCol w:w="150"/>
        <w:gridCol w:w="730"/>
        <w:gridCol w:w="102"/>
        <w:gridCol w:w="60"/>
        <w:gridCol w:w="140"/>
        <w:gridCol w:w="680"/>
        <w:gridCol w:w="95"/>
        <w:gridCol w:w="60"/>
        <w:gridCol w:w="140"/>
        <w:gridCol w:w="680"/>
        <w:gridCol w:w="110"/>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93" w:type="dxa"/>
            <w:gridSpan w:val="15"/>
            <w:tcBorders/>
            <w:vAlign w:val="center"/>
          </w:tcPr>
          <w:p>
            <w:pPr>
              <w:pStyle w:val="TableContents"/>
              <w:bidi w:val="0"/>
              <w:spacing w:before="0" w:after="283"/>
              <w:jc w:val="center"/>
              <w:rPr/>
            </w:pPr>
            <w:r>
              <w:rPr/>
              <w:t>(In Thousands)</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8" w:type="dxa"/>
            <w:gridSpan w:val="7"/>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1905" w:type="dxa"/>
            <w:gridSpan w:val="7"/>
            <w:tcBorders/>
            <w:vAlign w:val="center"/>
          </w:tcPr>
          <w:p>
            <w:pPr>
              <w:pStyle w:val="TableContents"/>
              <w:bidi w:val="0"/>
              <w:spacing w:before="0" w:after="283"/>
              <w:jc w:val="center"/>
              <w:rPr/>
            </w:pPr>
            <w:r>
              <w:rPr/>
              <w:t>Six Months Ended</w:t>
            </w:r>
          </w:p>
        </w:tc>
      </w:tr>
      <w:tr>
        <w:trPr/>
        <w:tc>
          <w:tcPr>
            <w:tcW w:w="30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8" w:type="dxa"/>
            <w:gridSpan w:val="7"/>
            <w:tcBorders>
              <w:bottom w:val="single" w:sz="8" w:space="0" w:color="000000"/>
            </w:tcBorders>
            <w:tcMar>
              <w:bottom w:w="28" w:type="dxa"/>
            </w:tcMar>
            <w:vAlign w:val="center"/>
          </w:tcPr>
          <w:p>
            <w:pPr>
              <w:pStyle w:val="TableContents"/>
              <w:bidi w:val="0"/>
              <w:spacing w:before="0" w:after="283"/>
              <w:jc w:val="center"/>
              <w:rPr/>
            </w:pPr>
            <w:r>
              <w:rPr/>
              <w:t>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05" w:type="dxa"/>
            <w:gridSpan w:val="7"/>
            <w:tcBorders>
              <w:bottom w:val="single" w:sz="8" w:space="0" w:color="000000"/>
            </w:tcBorders>
            <w:tcMar>
              <w:bottom w:w="28" w:type="dxa"/>
            </w:tcMar>
            <w:vAlign w:val="center"/>
          </w:tcPr>
          <w:p>
            <w:pPr>
              <w:pStyle w:val="TableContents"/>
              <w:bidi w:val="0"/>
              <w:spacing w:before="0" w:after="283"/>
              <w:jc w:val="center"/>
              <w:rPr/>
            </w:pPr>
            <w:r>
              <w:rPr/>
              <w:t>June 30,</w:t>
            </w:r>
          </w:p>
        </w:tc>
      </w:tr>
      <w:tr>
        <w:trPr/>
        <w:tc>
          <w:tcPr>
            <w:tcW w:w="3050" w:type="dxa"/>
            <w:tcBorders>
              <w:bottom w:val="single" w:sz="8" w:space="0" w:color="000000"/>
            </w:tcBorders>
            <w:tcMar>
              <w:bottom w:w="28" w:type="dxa"/>
            </w:tcMar>
            <w:vAlign w:val="center"/>
          </w:tcPr>
          <w:p>
            <w:pPr>
              <w:pStyle w:val="TableContents"/>
              <w:bidi w:val="0"/>
              <w:spacing w:before="0" w:after="283"/>
              <w:jc w:val="left"/>
              <w:rPr/>
            </w:pPr>
            <w:r>
              <w:rPr/>
              <w:t>Operations by Segments: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0"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r>
      <w:tr>
        <w:trPr/>
        <w:tc>
          <w:tcPr>
            <w:tcW w:w="305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982" w:type="dxa"/>
            <w:gridSpan w:val="3"/>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982"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 w:type="dxa"/>
            <w:gridSpan w:val="3"/>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39,909</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37,037</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70,361</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Non – Regulated</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3,056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2,875</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5,885</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(164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(229</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(367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050" w:type="dxa"/>
            <w:tcBorders/>
            <w:vAlign w:val="center"/>
          </w:tcPr>
          <w:p>
            <w:pPr>
              <w:pStyle w:val="TableContents"/>
              <w:bidi w:val="0"/>
              <w:spacing w:before="0" w:after="283"/>
              <w:jc w:val="left"/>
              <w:rPr/>
            </w:pPr>
            <w:r>
              <w:rPr/>
              <w:t>Consolidated Revenues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tcMar>
              <w:bottom w:w="28" w:type="dxa"/>
            </w:tcMar>
            <w:vAlign w:val="center"/>
          </w:tcPr>
          <w:p>
            <w:pPr>
              <w:pStyle w:val="TableContents"/>
              <w:bidi w:val="0"/>
              <w:spacing w:before="0" w:after="283"/>
              <w:jc w:val="right"/>
              <w:rPr/>
            </w:pPr>
            <w:r>
              <w:rPr/>
              <w:t>42,801</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tcMar>
              <w:bottom w:w="28" w:type="dxa"/>
            </w:tcMar>
            <w:vAlign w:val="center"/>
          </w:tcPr>
          <w:p>
            <w:pPr>
              <w:pStyle w:val="TableContents"/>
              <w:bidi w:val="0"/>
              <w:spacing w:before="0" w:after="283"/>
              <w:jc w:val="right"/>
              <w:rPr/>
            </w:pPr>
            <w:r>
              <w:rPr/>
              <w:t>39,683</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80,957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75,879</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Operating Income: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9,820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9,336</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21,043</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Non – Regulated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tcMar>
              <w:bottom w:w="28" w:type="dxa"/>
            </w:tcMar>
            <w:vAlign w:val="center"/>
          </w:tcPr>
          <w:p>
            <w:pPr>
              <w:pStyle w:val="TableContents"/>
              <w:bidi w:val="0"/>
              <w:spacing w:before="0" w:after="283"/>
              <w:jc w:val="right"/>
              <w:rPr/>
            </w:pPr>
            <w:r>
              <w:rPr/>
              <w:t>849</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tcMar>
              <w:bottom w:w="28" w:type="dxa"/>
            </w:tcMar>
            <w:vAlign w:val="center"/>
          </w:tcPr>
          <w:p>
            <w:pPr>
              <w:pStyle w:val="TableContents"/>
              <w:bidi w:val="0"/>
              <w:spacing w:before="0" w:after="283"/>
              <w:jc w:val="right"/>
              <w:rPr/>
            </w:pPr>
            <w:r>
              <w:rPr/>
              <w:t>752</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1,622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1,569</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Consolidated Operating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10,669</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10,088</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18,157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22,612</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730" w:type="dxa"/>
            <w:tcBorders/>
            <w:vAlign w:val="center"/>
          </w:tcPr>
          <w:p>
            <w:pPr>
              <w:pStyle w:val="TableContents"/>
              <w:bidi w:val="0"/>
              <w:spacing w:before="0" w:after="283"/>
              <w:jc w:val="right"/>
              <w:rPr/>
            </w:pPr>
            <w:r>
              <w:rPr/>
              <w:t>9,307</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730" w:type="dxa"/>
            <w:tcBorders/>
            <w:vAlign w:val="center"/>
          </w:tcPr>
          <w:p>
            <w:pPr>
              <w:pStyle w:val="TableContents"/>
              <w:bidi w:val="0"/>
              <w:spacing w:before="0" w:after="283"/>
              <w:jc w:val="right"/>
              <w:rPr/>
            </w:pPr>
            <w:r>
              <w:rPr/>
              <w:t>8,314</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14,631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19,814</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Non – Regulated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594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554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1,136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1,154</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Consolidated Net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tcMar>
              <w:bottom w:w="28" w:type="dxa"/>
            </w:tcMar>
            <w:vAlign w:val="center"/>
          </w:tcPr>
          <w:p>
            <w:pPr>
              <w:pStyle w:val="TableContents"/>
              <w:bidi w:val="0"/>
              <w:spacing w:before="0" w:after="283"/>
              <w:jc w:val="right"/>
              <w:rPr/>
            </w:pPr>
            <w:r>
              <w:rPr/>
              <w:t>9,901</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tcMar>
              <w:bottom w:w="28" w:type="dxa"/>
            </w:tcMar>
            <w:vAlign w:val="center"/>
          </w:tcPr>
          <w:p>
            <w:pPr>
              <w:pStyle w:val="TableContents"/>
              <w:bidi w:val="0"/>
              <w:spacing w:before="0" w:after="283"/>
              <w:jc w:val="right"/>
              <w:rPr/>
            </w:pPr>
            <w:r>
              <w:rPr/>
              <w:t>8,868</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15,767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20,968</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Capital Expenditures: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26,114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22,549</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39,134</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Non – Regulated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tcMar>
              <w:bottom w:w="28" w:type="dxa"/>
            </w:tcMar>
            <w:vAlign w:val="center"/>
          </w:tcPr>
          <w:p>
            <w:pPr>
              <w:pStyle w:val="TableContents"/>
              <w:bidi w:val="0"/>
              <w:spacing w:before="0" w:after="283"/>
              <w:jc w:val="right"/>
              <w:rPr/>
            </w:pPr>
            <w:r>
              <w:rPr/>
              <w:t>6</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tcMar>
              <w:bottom w:w="28" w:type="dxa"/>
            </w:tcMar>
            <w:vAlign w:val="center"/>
          </w:tcPr>
          <w:p>
            <w:pPr>
              <w:pStyle w:val="TableContents"/>
              <w:bidi w:val="0"/>
              <w:spacing w:before="0" w:after="283"/>
              <w:jc w:val="right"/>
              <w:rPr/>
            </w:pPr>
            <w:r>
              <w:rPr/>
              <w:t>163</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56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209</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Total Capital Expenditures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26,120</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22,712</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50,635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39,343</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2480"/>
        <w:gridCol w:w="60"/>
        <w:gridCol w:w="169"/>
        <w:gridCol w:w="1185"/>
        <w:gridCol w:w="95"/>
        <w:gridCol w:w="60"/>
        <w:gridCol w:w="236"/>
        <w:gridCol w:w="1658"/>
        <w:gridCol w:w="95"/>
        <w:gridCol w:w="60"/>
        <w:gridCol w:w="60"/>
        <w:gridCol w:w="60"/>
        <w:gridCol w:w="60"/>
        <w:gridCol w:w="60"/>
        <w:gridCol w:w="60"/>
        <w:gridCol w:w="6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pPr>
            <w:r>
              <w:rPr/>
              <w:t>As of</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4" w:type="dxa"/>
            <w:gridSpan w:val="2"/>
            <w:tcBorders/>
            <w:vAlign w:val="center"/>
          </w:tcPr>
          <w:p>
            <w:pPr>
              <w:pStyle w:val="TableContents"/>
              <w:bidi w:val="0"/>
              <w:spacing w:before="0" w:after="283"/>
              <w:jc w:val="center"/>
              <w:rPr/>
            </w:pPr>
            <w:r>
              <w:rPr/>
              <w:t>As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2023</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Regulated</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1185" w:type="dxa"/>
            <w:tcBorders/>
            <w:vAlign w:val="center"/>
          </w:tcPr>
          <w:p>
            <w:pPr>
              <w:pStyle w:val="TableContents"/>
              <w:bidi w:val="0"/>
              <w:spacing w:before="0" w:after="283"/>
              <w:jc w:val="right"/>
              <w:rPr/>
            </w:pPr>
            <w:r>
              <w:rPr/>
              <w:t>1,126,436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658" w:type="dxa"/>
            <w:tcBorders/>
            <w:vAlign w:val="center"/>
          </w:tcPr>
          <w:p>
            <w:pPr>
              <w:pStyle w:val="TableContents"/>
              <w:bidi w:val="0"/>
              <w:spacing w:before="0" w:after="283"/>
              <w:jc w:val="right"/>
              <w:rPr/>
            </w:pPr>
            <w:r>
              <w:rPr/>
              <w:t>1,079,180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Non – Regulated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6,999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Inter-segment Elimination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pPr>
            <w:r>
              <w:rPr/>
              <w:t>(6,527</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tcMar>
              <w:bottom w:w="28" w:type="dxa"/>
            </w:tcMar>
            <w:vAlign w:val="center"/>
          </w:tcPr>
          <w:p>
            <w:pPr>
              <w:pStyle w:val="TableContents"/>
              <w:bidi w:val="0"/>
              <w:spacing w:before="0" w:after="283"/>
              <w:jc w:val="right"/>
              <w:rPr/>
            </w:pPr>
            <w:r>
              <w:rPr/>
              <w:t>(11,729</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Consolidated Assets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1,127,586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1,074,450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Short-term Borrowings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lines of credit aggregating $140.0 million.</w:t>
      </w:r>
    </w:p>
    <w:p>
      <w:pPr>
        <w:pStyle w:val="TextBody"/>
        <w:bidi w:val="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1670"/>
        <w:gridCol w:w="60"/>
        <w:gridCol w:w="257"/>
        <w:gridCol w:w="807"/>
        <w:gridCol w:w="111"/>
        <w:gridCol w:w="79"/>
        <w:gridCol w:w="186"/>
        <w:gridCol w:w="744"/>
        <w:gridCol w:w="79"/>
        <w:gridCol w:w="60"/>
        <w:gridCol w:w="183"/>
        <w:gridCol w:w="733"/>
        <w:gridCol w:w="79"/>
        <w:gridCol w:w="60"/>
        <w:gridCol w:w="1310"/>
        <w:gridCol w:w="60"/>
        <w:gridCol w:w="1940"/>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3" w:type="dxa"/>
            <w:gridSpan w:val="7"/>
            <w:tcBorders/>
            <w:vAlign w:val="center"/>
          </w:tcPr>
          <w:p>
            <w:pPr>
              <w:pStyle w:val="TableContents"/>
              <w:bidi w:val="0"/>
              <w:spacing w:before="0" w:after="283"/>
              <w:jc w:val="center"/>
              <w:rPr/>
            </w:pPr>
            <w:r>
              <w:rPr/>
              <w:t>(Millions)</w:t>
            </w:r>
          </w:p>
        </w:tc>
        <w:tc>
          <w:tcPr>
            <w:tcW w:w="60" w:type="dxa"/>
            <w:tcBorders/>
            <w:vAlign w:val="center"/>
          </w:tcPr>
          <w:p>
            <w:pPr>
              <w:pStyle w:val="TableContents"/>
              <w:bidi w:val="0"/>
              <w:spacing w:before="0" w:after="283"/>
              <w:jc w:val="left"/>
              <w:rPr/>
            </w:pPr>
            <w:r>
              <w:rPr/>
              <w:t> </w:t>
            </w:r>
          </w:p>
        </w:tc>
        <w:tc>
          <w:tcPr>
            <w:tcW w:w="9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3" w:type="dxa"/>
            <w:gridSpan w:val="7"/>
            <w:tcBorders/>
            <w:vAlign w:val="center"/>
          </w:tcPr>
          <w:p>
            <w:pPr>
              <w:pStyle w:val="TableContents"/>
              <w:bidi w:val="0"/>
              <w:spacing w:before="0" w:after="283"/>
              <w:jc w:val="center"/>
              <w:rPr/>
            </w:pPr>
            <w:r>
              <w:rPr/>
              <w:t>As of June 30, 2023</w:t>
            </w:r>
          </w:p>
        </w:tc>
        <w:tc>
          <w:tcPr>
            <w:tcW w:w="60" w:type="dxa"/>
            <w:tcBorders/>
            <w:vAlign w:val="center"/>
          </w:tcPr>
          <w:p>
            <w:pPr>
              <w:pStyle w:val="TableContents"/>
              <w:bidi w:val="0"/>
              <w:spacing w:before="0" w:after="283"/>
              <w:jc w:val="left"/>
              <w:rPr/>
            </w:pPr>
            <w:r>
              <w:rPr/>
              <w:t> </w:t>
            </w:r>
          </w:p>
        </w:tc>
        <w:tc>
          <w:tcPr>
            <w:tcW w:w="9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spacing w:before="0" w:after="283"/>
              <w:jc w:val="center"/>
              <w:rPr/>
            </w:pPr>
            <w:r>
              <w:rPr/>
              <w:t>Outstanding</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009" w:type="dxa"/>
            <w:gridSpan w:val="3"/>
            <w:tcBorders>
              <w:bottom w:val="single" w:sz="8" w:space="0" w:color="000000"/>
            </w:tcBorders>
            <w:tcMar>
              <w:bottom w:w="28" w:type="dxa"/>
            </w:tcMar>
            <w:vAlign w:val="center"/>
          </w:tcPr>
          <w:p>
            <w:pPr>
              <w:pStyle w:val="TableContents"/>
              <w:bidi w:val="0"/>
              <w:spacing w:before="0" w:after="283"/>
              <w:jc w:val="center"/>
              <w:rPr/>
            </w:pPr>
            <w:r>
              <w:rPr/>
              <w:t>Available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pPr>
            <w:r>
              <w:rPr/>
              <w:t>Maximum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pPr>
            <w:r>
              <w:rPr/>
              <w:t>Credit Type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pPr>
            <w:r>
              <w:rPr/>
              <w:t>Renewal Date</w:t>
            </w:r>
          </w:p>
        </w:tc>
      </w:tr>
      <w:tr>
        <w:trPr/>
        <w:tc>
          <w:tcPr>
            <w:tcW w:w="1670" w:type="dxa"/>
            <w:tcBorders/>
            <w:shd w:fill="CCEEFF" w:val="clear"/>
            <w:vAlign w:val="center"/>
          </w:tcPr>
          <w:p>
            <w:pPr>
              <w:pStyle w:val="TableContents"/>
              <w:bidi w:val="0"/>
              <w:spacing w:before="0" w:after="283"/>
              <w:jc w:val="left"/>
              <w:rPr/>
            </w:pPr>
            <w:r>
              <w:rPr/>
              <w:t>Bank of America</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5.0</w:t>
            </w:r>
          </w:p>
        </w:tc>
        <w:tc>
          <w:tcPr>
            <w:tcW w:w="11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55.0</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60.0</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Uncommitted</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January 25, 2024</w:t>
            </w:r>
          </w:p>
        </w:tc>
      </w:tr>
      <w:tr>
        <w:trPr/>
        <w:tc>
          <w:tcPr>
            <w:tcW w:w="1670" w:type="dxa"/>
            <w:tcBorders/>
            <w:vAlign w:val="center"/>
          </w:tcPr>
          <w:p>
            <w:pPr>
              <w:pStyle w:val="TableContents"/>
              <w:bidi w:val="0"/>
              <w:spacing w:before="0" w:after="283"/>
              <w:jc w:val="left"/>
              <w:rPr/>
            </w:pPr>
            <w:r>
              <w:rPr/>
              <w:t>PNC Bank</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18.5</w:t>
            </w:r>
          </w:p>
        </w:tc>
        <w:tc>
          <w:tcPr>
            <w:tcW w:w="111"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744" w:type="dxa"/>
            <w:tcBorders/>
            <w:vAlign w:val="center"/>
          </w:tcPr>
          <w:p>
            <w:pPr>
              <w:pStyle w:val="TableContents"/>
              <w:bidi w:val="0"/>
              <w:spacing w:before="0" w:after="283"/>
              <w:jc w:val="right"/>
              <w:rPr/>
            </w:pPr>
            <w:r>
              <w:rPr/>
              <w:t>49.5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68.0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Committed</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July 31, 2025</w:t>
            </w:r>
          </w:p>
        </w:tc>
      </w:tr>
      <w:tr>
        <w:trPr/>
        <w:tc>
          <w:tcPr>
            <w:tcW w:w="1670" w:type="dxa"/>
            <w:tcBorders/>
            <w:shd w:fill="CCEEFF" w:val="clear"/>
            <w:vAlign w:val="center"/>
          </w:tcPr>
          <w:p>
            <w:pPr>
              <w:pStyle w:val="TableContents"/>
              <w:bidi w:val="0"/>
              <w:spacing w:before="0" w:after="283"/>
              <w:jc w:val="left"/>
              <w:rPr/>
            </w:pPr>
            <w:r>
              <w:rPr/>
              <w:t>CoBank</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Committed</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November 30, 2023</w:t>
            </w:r>
          </w:p>
        </w:tc>
      </w:tr>
      <w:tr>
        <w:trPr/>
        <w:tc>
          <w:tcPr>
            <w:tcW w:w="167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257" w:type="dxa"/>
            <w:tcBorders>
              <w:bottom w:val="double" w:sz="6" w:space="0" w:color="000000"/>
            </w:tcBorders>
            <w:tcMar>
              <w:bottom w:w="28" w:type="dxa"/>
            </w:tcMar>
            <w:vAlign w:val="center"/>
          </w:tcPr>
          <w:p>
            <w:pPr>
              <w:pStyle w:val="TableContents"/>
              <w:bidi w:val="0"/>
              <w:spacing w:before="0" w:after="283"/>
              <w:jc w:val="left"/>
              <w:rPr/>
            </w:pPr>
            <w:r>
              <w:rPr/>
              <w:t>$</w:t>
            </w:r>
          </w:p>
        </w:tc>
        <w:tc>
          <w:tcPr>
            <w:tcW w:w="807" w:type="dxa"/>
            <w:tcBorders>
              <w:bottom w:val="double" w:sz="6" w:space="0" w:color="000000"/>
            </w:tcBorders>
            <w:tcMar>
              <w:bottom w:w="28" w:type="dxa"/>
            </w:tcMar>
            <w:vAlign w:val="center"/>
          </w:tcPr>
          <w:p>
            <w:pPr>
              <w:pStyle w:val="TableContents"/>
              <w:bidi w:val="0"/>
              <w:spacing w:before="0" w:after="283"/>
              <w:jc w:val="right"/>
              <w:rPr/>
            </w:pPr>
            <w:r>
              <w:rPr/>
              <w:t>23.5</w:t>
            </w:r>
          </w:p>
        </w:tc>
        <w:tc>
          <w:tcPr>
            <w:tcW w:w="111" w:type="dxa"/>
            <w:tcBorders>
              <w:bottom w:val="double" w:sz="6" w:space="0" w:color="000000"/>
            </w:tcBorders>
            <w:tcMar>
              <w:bottom w:w="28" w:type="dxa"/>
            </w:tcMar>
            <w:vAlign w:val="center"/>
          </w:tcPr>
          <w:p>
            <w:pPr>
              <w:pStyle w:val="TableContents"/>
              <w:bidi w:val="0"/>
              <w:spacing w:before="0" w:after="283"/>
              <w:jc w:val="left"/>
              <w:rPr/>
            </w:pPr>
            <w:r>
              <w:rPr/>
              <w:t> </w:t>
            </w:r>
          </w:p>
        </w:tc>
        <w:tc>
          <w:tcPr>
            <w:tcW w:w="79" w:type="dxa"/>
            <w:tcBorders>
              <w:bottom w:val="double" w:sz="6" w:space="0" w:color="000000"/>
            </w:tcBorders>
            <w:tcMar>
              <w:bottom w:w="28" w:type="dxa"/>
            </w:tcMar>
            <w:vAlign w:val="center"/>
          </w:tcPr>
          <w:p>
            <w:pPr>
              <w:pStyle w:val="TableContents"/>
              <w:bidi w:val="0"/>
              <w:spacing w:before="0" w:after="283"/>
              <w:jc w:val="left"/>
              <w:rPr/>
            </w:pPr>
            <w:r>
              <w:rPr/>
              <w:t> </w:t>
            </w:r>
          </w:p>
        </w:tc>
        <w:tc>
          <w:tcPr>
            <w:tcW w:w="186" w:type="dxa"/>
            <w:tcBorders>
              <w:bottom w:val="double" w:sz="6" w:space="0" w:color="000000"/>
            </w:tcBorders>
            <w:tcMar>
              <w:bottom w:w="28" w:type="dxa"/>
            </w:tcMar>
            <w:vAlign w:val="center"/>
          </w:tcPr>
          <w:p>
            <w:pPr>
              <w:pStyle w:val="TableContents"/>
              <w:bidi w:val="0"/>
              <w:spacing w:before="0" w:after="283"/>
              <w:jc w:val="left"/>
              <w:rPr/>
            </w:pPr>
            <w:r>
              <w:rPr/>
              <w:t>$</w:t>
            </w:r>
          </w:p>
        </w:tc>
        <w:tc>
          <w:tcPr>
            <w:tcW w:w="744" w:type="dxa"/>
            <w:tcBorders>
              <w:bottom w:val="double" w:sz="6" w:space="0" w:color="000000"/>
            </w:tcBorders>
            <w:tcMar>
              <w:bottom w:w="28" w:type="dxa"/>
            </w:tcMar>
            <w:vAlign w:val="center"/>
          </w:tcPr>
          <w:p>
            <w:pPr>
              <w:pStyle w:val="TableContents"/>
              <w:bidi w:val="0"/>
              <w:spacing w:before="0" w:after="283"/>
              <w:jc w:val="right"/>
              <w:rPr/>
            </w:pPr>
            <w:r>
              <w:rPr/>
              <w:t>116.5</w:t>
            </w:r>
          </w:p>
        </w:tc>
        <w:tc>
          <w:tcPr>
            <w:tcW w:w="79"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pPr>
            <w:r>
              <w:rPr/>
              <w:t>$</w:t>
            </w:r>
          </w:p>
        </w:tc>
        <w:tc>
          <w:tcPr>
            <w:tcW w:w="733" w:type="dxa"/>
            <w:tcBorders>
              <w:bottom w:val="double" w:sz="6" w:space="0" w:color="000000"/>
            </w:tcBorders>
            <w:tcMar>
              <w:bottom w:w="28" w:type="dxa"/>
            </w:tcMar>
            <w:vAlign w:val="center"/>
          </w:tcPr>
          <w:p>
            <w:pPr>
              <w:pStyle w:val="TableContents"/>
              <w:bidi w:val="0"/>
              <w:spacing w:before="0" w:after="283"/>
              <w:jc w:val="right"/>
              <w:rPr/>
            </w:pPr>
            <w:r>
              <w:rPr/>
              <w:t>140.0</w:t>
            </w:r>
          </w:p>
        </w:tc>
        <w:tc>
          <w:tcPr>
            <w:tcW w:w="79"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are set for borrowings under the Bank of America and PNC Bank lines of credit using the Bloomberg Short-Term Bank Yield Index and the Secured Overnight Financing Rate (SOFR), respectively,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interest rate on the outstanding borrowings at June 30, 2023 under these credit lines is 6.24%.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daily amounts of borrowings outstanding under these credit lines and the weighted average interest rates on those amounts were as follows:</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7556" w:type="dxa"/>
        <w:jc w:val="left"/>
        <w:tblInd w:w="0" w:type="dxa"/>
        <w:tblLayout w:type="fixed"/>
        <w:tblCellMar>
          <w:top w:w="0" w:type="dxa"/>
          <w:left w:w="0" w:type="dxa"/>
          <w:bottom w:w="0" w:type="dxa"/>
          <w:right w:w="0" w:type="dxa"/>
        </w:tblCellMar>
      </w:tblPr>
      <w:tblGrid>
        <w:gridCol w:w="3575"/>
        <w:gridCol w:w="60"/>
        <w:gridCol w:w="156"/>
        <w:gridCol w:w="758"/>
        <w:gridCol w:w="66"/>
        <w:gridCol w:w="66"/>
        <w:gridCol w:w="156"/>
        <w:gridCol w:w="758"/>
        <w:gridCol w:w="66"/>
        <w:gridCol w:w="60"/>
        <w:gridCol w:w="140"/>
        <w:gridCol w:w="680"/>
        <w:gridCol w:w="60"/>
        <w:gridCol w:w="60"/>
        <w:gridCol w:w="140"/>
        <w:gridCol w:w="680"/>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21" w:type="dxa"/>
            <w:gridSpan w:val="15"/>
            <w:tcBorders/>
            <w:vAlign w:val="center"/>
          </w:tcPr>
          <w:p>
            <w:pPr>
              <w:pStyle w:val="TableContents"/>
              <w:bidi w:val="0"/>
              <w:spacing w:before="0" w:after="283"/>
              <w:jc w:val="center"/>
              <w:rPr/>
            </w:pPr>
            <w:r>
              <w:rPr/>
              <w:t>(In Thousands)</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6" w:type="dxa"/>
            <w:gridSpan w:val="7"/>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1835" w:type="dxa"/>
            <w:gridSpan w:val="7"/>
            <w:tcBorders/>
            <w:vAlign w:val="center"/>
          </w:tcPr>
          <w:p>
            <w:pPr>
              <w:pStyle w:val="TableContents"/>
              <w:bidi w:val="0"/>
              <w:spacing w:before="0" w:after="283"/>
              <w:jc w:val="center"/>
              <w:rPr/>
            </w:pPr>
            <w:r>
              <w:rPr/>
              <w:t>Six Months Ended</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6" w:type="dxa"/>
            <w:gridSpan w:val="7"/>
            <w:tcBorders/>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1835" w:type="dxa"/>
            <w:gridSpan w:val="7"/>
            <w:tcBorders/>
            <w:vAlign w:val="center"/>
          </w:tcPr>
          <w:p>
            <w:pPr>
              <w:pStyle w:val="TableContents"/>
              <w:bidi w:val="0"/>
              <w:spacing w:before="0" w:after="283"/>
              <w:jc w:val="center"/>
              <w:rPr/>
            </w:pPr>
            <w:r>
              <w:rPr/>
              <w:t>June 30,</w:t>
            </w:r>
          </w:p>
        </w:tc>
      </w:tr>
      <w:tr>
        <w:trPr/>
        <w:tc>
          <w:tcPr>
            <w:tcW w:w="35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6"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5"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r>
      <w:tr>
        <w:trPr/>
        <w:tc>
          <w:tcPr>
            <w:tcW w:w="3575" w:type="dxa"/>
            <w:tcBorders/>
            <w:shd w:fill="CCEEFF" w:val="clear"/>
            <w:vAlign w:val="center"/>
          </w:tcPr>
          <w:p>
            <w:pPr>
              <w:pStyle w:val="TableContents"/>
              <w:bidi w:val="0"/>
              <w:spacing w:before="0" w:after="283"/>
              <w:jc w:val="left"/>
              <w:rPr/>
            </w:pPr>
            <w:r>
              <w:rPr/>
              <w:t>Average Daily Amounts Outstanding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24,220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20,527</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17,006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Weighted Average Interest Rates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6.09%</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1.88%</w:t>
            </w:r>
          </w:p>
        </w:tc>
        <w:tc>
          <w:tcPr>
            <w:tcW w:w="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1.58%</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dates for the $23.5 million outstanding as of June 30, 2023 are in July 2023 through September 2023 and were or are expected to be extended at the discretion of the Company.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Water Supply </w:t>
      </w:r>
      <w:r>
        <w:rPr>
          <w:rFonts w:ascii="Times New Roman;Times;Serif" w:hAnsi="Times New Roman;Times;Serif"/>
          <w:b w:val="false"/>
          <w:i w:val="false"/>
          <w:caps w:val="false"/>
          <w:smallCaps w:val="false"/>
          <w:sz w:val="20"/>
        </w:rPr>
        <w:t>– Middlesex has an agreement with the New Jersey Water Supply Authority (NJWSA) for the purchase of untreated water through November 30, 2023, which provides for an average purchase of 27 million gallons a day (mgd). The agreement renewal process is underway and a new agreement is expected to be in place prior to the expiration date of the existing agreement. Middlesex does not expect the agreement terms and conditions to vary. Pricing is set annually by the NJWSA through a public rate making process. The agreement has provisions for additional pricing in the event Middlesex overdrafts or exceeds certain monthly and annual thresholds.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an agreement with a non-affiliated regulated water utility for the purchase of treated water. This agreement, which expires February 27, 2026, provides for the minimum purchase of 3 mgd of treated water with provisions for additional purchases.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contracts with the City of Dover, Delaware to purchase 15 million gallons of treated water annually.</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water costs are shown below:</w:t>
      </w:r>
    </w:p>
    <w:p>
      <w:pPr>
        <w:pStyle w:val="TextBody"/>
        <w:bidi w:val="0"/>
        <w:jc w:val="left"/>
        <w:rPr>
          <w:caps w:val="false"/>
          <w:smallCaps w:val="false"/>
        </w:rPr>
      </w:pPr>
      <w:r>
        <w:rPr>
          <w:caps w:val="false"/>
          <w:smallCaps w:val="false"/>
        </w:rPr>
        <w:t> </w:t>
      </w:r>
    </w:p>
    <w:tbl>
      <w:tblPr>
        <w:tblW w:w="5062" w:type="dxa"/>
        <w:jc w:val="left"/>
        <w:tblInd w:w="0" w:type="dxa"/>
        <w:tblLayout w:type="fixed"/>
        <w:tblCellMar>
          <w:top w:w="0" w:type="dxa"/>
          <w:left w:w="0" w:type="dxa"/>
          <w:bottom w:w="0" w:type="dxa"/>
          <w:right w:w="0" w:type="dxa"/>
        </w:tblCellMar>
      </w:tblPr>
      <w:tblGrid>
        <w:gridCol w:w="1115"/>
        <w:gridCol w:w="60"/>
        <w:gridCol w:w="179"/>
        <w:gridCol w:w="719"/>
        <w:gridCol w:w="77"/>
        <w:gridCol w:w="77"/>
        <w:gridCol w:w="179"/>
        <w:gridCol w:w="719"/>
        <w:gridCol w:w="77"/>
        <w:gridCol w:w="60"/>
        <w:gridCol w:w="158"/>
        <w:gridCol w:w="633"/>
        <w:gridCol w:w="67"/>
        <w:gridCol w:w="67"/>
        <w:gridCol w:w="158"/>
        <w:gridCol w:w="633"/>
        <w:gridCol w:w="84"/>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7" w:type="dxa"/>
            <w:gridSpan w:val="15"/>
            <w:tcBorders/>
            <w:vAlign w:val="center"/>
          </w:tcPr>
          <w:p>
            <w:pPr>
              <w:pStyle w:val="TableContents"/>
              <w:bidi w:val="0"/>
              <w:spacing w:before="0" w:after="283"/>
              <w:jc w:val="center"/>
              <w:rPr/>
            </w:pPr>
            <w:r>
              <w:rPr/>
              <w:t>(In Thousands)</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7" w:type="dxa"/>
            <w:gridSpan w:val="7"/>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1800" w:type="dxa"/>
            <w:gridSpan w:val="7"/>
            <w:tcBorders/>
            <w:vAlign w:val="center"/>
          </w:tcPr>
          <w:p>
            <w:pPr>
              <w:pStyle w:val="TableContents"/>
              <w:bidi w:val="0"/>
              <w:spacing w:before="0" w:after="283"/>
              <w:jc w:val="center"/>
              <w:rPr/>
            </w:pPr>
            <w:r>
              <w:rPr/>
              <w:t>Six Months Ended</w:t>
            </w:r>
          </w:p>
        </w:tc>
      </w:tr>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7" w:type="dxa"/>
            <w:gridSpan w:val="7"/>
            <w:tcBorders/>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1800" w:type="dxa"/>
            <w:gridSpan w:val="7"/>
            <w:tcBorders/>
            <w:vAlign w:val="center"/>
          </w:tcPr>
          <w:p>
            <w:pPr>
              <w:pStyle w:val="TableContents"/>
              <w:bidi w:val="0"/>
              <w:spacing w:before="0" w:after="283"/>
              <w:jc w:val="center"/>
              <w:rPr/>
            </w:pPr>
            <w:r>
              <w:rPr/>
              <w:t>June 30,</w:t>
            </w:r>
          </w:p>
        </w:tc>
      </w:tr>
      <w:tr>
        <w:trPr/>
        <w:tc>
          <w:tcPr>
            <w:tcW w:w="111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58"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3"/>
            <w:tcBorders/>
            <w:vAlign w:val="center"/>
          </w:tcPr>
          <w:p>
            <w:pPr>
              <w:pStyle w:val="TableContents"/>
              <w:bidi w:val="0"/>
              <w:spacing w:before="0" w:after="283"/>
              <w:jc w:val="both"/>
              <w:rPr/>
            </w:pPr>
            <w:r>
              <w:rPr/>
              <w:t> </w:t>
            </w:r>
          </w:p>
        </w:tc>
        <w:tc>
          <w:tcPr>
            <w:tcW w:w="77" w:type="dxa"/>
            <w:tcBorders/>
            <w:vAlign w:val="center"/>
          </w:tcPr>
          <w:p>
            <w:pPr>
              <w:pStyle w:val="TableContents"/>
              <w:bidi w:val="0"/>
              <w:spacing w:before="0" w:after="283"/>
              <w:jc w:val="left"/>
              <w:rPr/>
            </w:pPr>
            <w:r>
              <w:rPr/>
              <w:t> </w:t>
            </w:r>
          </w:p>
        </w:tc>
        <w:tc>
          <w:tcPr>
            <w:tcW w:w="97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8" w:type="dxa"/>
            <w:gridSpan w:val="3"/>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left"/>
              <w:rPr/>
            </w:pPr>
            <w:r>
              <w:rPr/>
              <w:t> </w:t>
            </w:r>
          </w:p>
        </w:tc>
        <w:tc>
          <w:tcPr>
            <w:tcW w:w="875" w:type="dxa"/>
            <w:gridSpan w:val="3"/>
            <w:tcBorders/>
            <w:vAlign w:val="center"/>
          </w:tcPr>
          <w:p>
            <w:pPr>
              <w:pStyle w:val="TableContents"/>
              <w:bidi w:val="0"/>
              <w:spacing w:before="0" w:after="283"/>
              <w:jc w:val="both"/>
              <w:rPr/>
            </w:pPr>
            <w:r>
              <w:rPr/>
              <w:t> </w:t>
            </w:r>
          </w:p>
        </w:tc>
      </w:tr>
      <w:tr>
        <w:trPr/>
        <w:tc>
          <w:tcPr>
            <w:tcW w:w="1115" w:type="dxa"/>
            <w:tcBorders/>
            <w:shd w:fill="CCEEFF" w:val="clear"/>
            <w:vAlign w:val="center"/>
          </w:tcPr>
          <w:p>
            <w:pPr>
              <w:pStyle w:val="TableContents"/>
              <w:bidi w:val="0"/>
              <w:spacing w:before="0" w:after="283"/>
              <w:jc w:val="left"/>
              <w:rPr/>
            </w:pPr>
            <w:r>
              <w:rPr/>
              <w:t>Treated</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1,363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785</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2,747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1,531</w:t>
            </w:r>
          </w:p>
        </w:tc>
        <w:tc>
          <w:tcPr>
            <w:tcW w:w="84"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Untreated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tcMar>
              <w:bottom w:w="28" w:type="dxa"/>
            </w:tcMar>
            <w:vAlign w:val="center"/>
          </w:tcPr>
          <w:p>
            <w:pPr>
              <w:pStyle w:val="TableContents"/>
              <w:bidi w:val="0"/>
              <w:spacing w:before="0" w:after="283"/>
              <w:jc w:val="right"/>
              <w:rPr/>
            </w:pPr>
            <w:r>
              <w:rPr/>
              <w:t>739</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tcMar>
              <w:bottom w:w="28" w:type="dxa"/>
            </w:tcMar>
            <w:vAlign w:val="center"/>
          </w:tcPr>
          <w:p>
            <w:pPr>
              <w:pStyle w:val="TableContents"/>
              <w:bidi w:val="0"/>
              <w:spacing w:before="0" w:after="283"/>
              <w:jc w:val="right"/>
              <w:rPr/>
            </w:pPr>
            <w:r>
              <w:rPr/>
              <w:t>739</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tcMar>
              <w:bottom w:w="28" w:type="dxa"/>
            </w:tcMar>
            <w:vAlign w:val="center"/>
          </w:tcPr>
          <w:p>
            <w:pPr>
              <w:pStyle w:val="TableContents"/>
              <w:bidi w:val="0"/>
              <w:spacing w:before="0" w:after="283"/>
              <w:jc w:val="right"/>
              <w:rPr/>
            </w:pPr>
            <w:r>
              <w:rPr/>
              <w:t>1,540</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tcMar>
              <w:bottom w:w="28" w:type="dxa"/>
            </w:tcMar>
            <w:vAlign w:val="center"/>
          </w:tcPr>
          <w:p>
            <w:pPr>
              <w:pStyle w:val="TableContents"/>
              <w:bidi w:val="0"/>
              <w:spacing w:before="0" w:after="283"/>
              <w:jc w:val="right"/>
              <w:rPr/>
            </w:pPr>
            <w:r>
              <w:rPr/>
              <w:t>1,550</w:t>
            </w:r>
          </w:p>
        </w:tc>
        <w:tc>
          <w:tcPr>
            <w:tcW w:w="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pPr>
            <w:r>
              <w:rPr/>
              <w:t>Total Costs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2,102</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1,524</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pPr>
            <w:r>
              <w:rPr/>
              <w:t>4,287</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pPr>
            <w:r>
              <w:rPr/>
              <w:t>3,081</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xml:space="preserve"> – The Company determines if an arrangement is a lease at inception. Generally, a lease agreement exists if the Company determines that the arrangement gives the Company control over the use of an identified asset and obtains substantially all of the benefits from the identified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impacts of accounting for regulated operations, and the resulting recognition of expense at the amounts recovered in customer rates, expenditures for operating leases are consistent with lease expense and were $0.2 million for each of the three months ended June 30, 2023 and 2022, respectively, and $0.4 million for each at this six months ended June 30, 2023 and 2022,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related to operating lease ROU assets and lease liabilities is as follows:</w:t>
      </w:r>
    </w:p>
    <w:p>
      <w:pPr>
        <w:pStyle w:val="TextBody"/>
        <w:bidi w:val="0"/>
        <w:jc w:val="both"/>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2930"/>
        <w:gridCol w:w="60"/>
        <w:gridCol w:w="301"/>
        <w:gridCol w:w="849"/>
        <w:gridCol w:w="204"/>
        <w:gridCol w:w="60"/>
        <w:gridCol w:w="414"/>
        <w:gridCol w:w="1168"/>
        <w:gridCol w:w="327"/>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3" w:type="dxa"/>
            <w:gridSpan w:val="7"/>
            <w:tcBorders/>
            <w:vAlign w:val="center"/>
          </w:tcPr>
          <w:p>
            <w:pPr>
              <w:pStyle w:val="TableContents"/>
              <w:bidi w:val="0"/>
              <w:spacing w:before="0" w:after="283"/>
              <w:jc w:val="center"/>
              <w:rPr/>
            </w:pPr>
            <w:r>
              <w:rPr/>
              <w:t>(In Millions)</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3" w:type="dxa"/>
            <w:gridSpan w:val="7"/>
            <w:tcBorders/>
            <w:vAlign w:val="center"/>
          </w:tcPr>
          <w:p>
            <w:pPr>
              <w:pStyle w:val="TableContents"/>
              <w:bidi w:val="0"/>
              <w:spacing w:before="0" w:after="283"/>
              <w:jc w:val="center"/>
              <w:rPr/>
            </w:pPr>
            <w:r>
              <w:rPr/>
              <w:t>As of</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3"/>
            <w:tcBorders/>
            <w:vAlign w:val="center"/>
          </w:tcPr>
          <w:p>
            <w:pPr>
              <w:pStyle w:val="TableContents"/>
              <w:bidi w:val="0"/>
              <w:spacing w:before="0" w:after="283"/>
              <w:jc w:val="center"/>
              <w:rPr/>
            </w:pPr>
            <w:r>
              <w:rPr/>
              <w:t>June 30, 2023</w:t>
            </w:r>
          </w:p>
        </w:tc>
        <w:tc>
          <w:tcPr>
            <w:tcW w:w="60" w:type="dxa"/>
            <w:tcBorders/>
            <w:vAlign w:val="center"/>
          </w:tcPr>
          <w:p>
            <w:pPr>
              <w:pStyle w:val="TableContents"/>
              <w:bidi w:val="0"/>
              <w:spacing w:before="0" w:after="283"/>
              <w:jc w:val="left"/>
              <w:rPr/>
            </w:pPr>
            <w:r>
              <w:rPr/>
              <w:t> </w:t>
            </w:r>
          </w:p>
        </w:tc>
        <w:tc>
          <w:tcPr>
            <w:tcW w:w="1909" w:type="dxa"/>
            <w:gridSpan w:val="3"/>
            <w:tcBorders/>
            <w:vAlign w:val="center"/>
          </w:tcPr>
          <w:p>
            <w:pPr>
              <w:pStyle w:val="TableContents"/>
              <w:bidi w:val="0"/>
              <w:spacing w:before="0" w:after="283"/>
              <w:jc w:val="center"/>
              <w:rPr/>
            </w:pPr>
            <w:r>
              <w:rPr/>
              <w:t>December 31, 2022</w:t>
            </w:r>
          </w:p>
        </w:tc>
      </w:tr>
      <w:tr>
        <w:trPr/>
        <w:tc>
          <w:tcPr>
            <w:tcW w:w="2930" w:type="dxa"/>
            <w:tcBorders/>
            <w:shd w:fill="CCEEFF" w:val="clear"/>
            <w:vAlign w:val="center"/>
          </w:tcPr>
          <w:p>
            <w:pPr>
              <w:pStyle w:val="TableContents"/>
              <w:bidi w:val="0"/>
              <w:spacing w:before="0" w:after="283"/>
              <w:jc w:val="left"/>
              <w:rPr/>
            </w:pPr>
            <w:r>
              <w:rPr/>
              <w:t>ROU Asset at Lease Inception</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7.3</w:t>
            </w:r>
          </w:p>
        </w:tc>
        <w:tc>
          <w:tcPr>
            <w:tcW w:w="2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7.3</w:t>
            </w:r>
          </w:p>
        </w:tc>
        <w:tc>
          <w:tcPr>
            <w:tcW w:w="327"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Accumulated Amortization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tcMar>
              <w:bottom w:w="28" w:type="dxa"/>
            </w:tcMar>
            <w:vAlign w:val="center"/>
          </w:tcPr>
          <w:p>
            <w:pPr>
              <w:pStyle w:val="TableContents"/>
              <w:bidi w:val="0"/>
              <w:spacing w:before="0" w:after="283"/>
              <w:jc w:val="right"/>
              <w:rPr/>
            </w:pPr>
            <w:r>
              <w:rPr/>
              <w:t>(3.8</w:t>
            </w:r>
          </w:p>
        </w:tc>
        <w:tc>
          <w:tcPr>
            <w:tcW w:w="204"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4" w:type="dxa"/>
            <w:tcBorders>
              <w:bottom w:val="single" w:sz="8" w:space="0" w:color="000000"/>
            </w:tcBorders>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tcMar>
              <w:bottom w:w="28" w:type="dxa"/>
            </w:tcMar>
            <w:vAlign w:val="center"/>
          </w:tcPr>
          <w:p>
            <w:pPr>
              <w:pStyle w:val="TableContents"/>
              <w:bidi w:val="0"/>
              <w:spacing w:before="0" w:after="283"/>
              <w:jc w:val="right"/>
              <w:rPr/>
            </w:pPr>
            <w:r>
              <w:rPr/>
              <w:t>(3.5</w:t>
            </w:r>
          </w:p>
        </w:tc>
        <w:tc>
          <w:tcPr>
            <w:tcW w:w="327"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Current ROU Asset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minimum operating lease commitments as of June 30, 2023 are as follows:</w:t>
      </w:r>
    </w:p>
    <w:p>
      <w:pPr>
        <w:pStyle w:val="TextBody"/>
        <w:bidi w:val="0"/>
        <w:jc w:val="left"/>
        <w:rPr>
          <w:caps w:val="false"/>
          <w:smallCaps w:val="false"/>
        </w:rPr>
      </w:pPr>
      <w:r>
        <w:rPr>
          <w:caps w:val="false"/>
          <w:smallCaps w:val="false"/>
        </w:rPr>
        <w:t> </w:t>
      </w:r>
    </w:p>
    <w:tbl>
      <w:tblPr>
        <w:tblW w:w="4868" w:type="dxa"/>
        <w:jc w:val="left"/>
        <w:tblInd w:w="0" w:type="dxa"/>
        <w:tblLayout w:type="fixed"/>
        <w:tblCellMar>
          <w:top w:w="0" w:type="dxa"/>
          <w:left w:w="0" w:type="dxa"/>
          <w:bottom w:w="0" w:type="dxa"/>
          <w:right w:w="0" w:type="dxa"/>
        </w:tblCellMar>
      </w:tblPr>
      <w:tblGrid>
        <w:gridCol w:w="3590"/>
        <w:gridCol w:w="60"/>
        <w:gridCol w:w="263"/>
        <w:gridCol w:w="746"/>
        <w:gridCol w:w="209"/>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gridSpan w:val="3"/>
            <w:tcBorders/>
            <w:vAlign w:val="center"/>
          </w:tcPr>
          <w:p>
            <w:pPr>
              <w:pStyle w:val="TableContents"/>
              <w:bidi w:val="0"/>
              <w:spacing w:before="0" w:after="283"/>
              <w:jc w:val="center"/>
              <w:rPr/>
            </w:pPr>
            <w:r>
              <w:rPr/>
              <w:t>(In Millions)</w:t>
            </w:r>
          </w:p>
        </w:tc>
      </w:tr>
      <w:tr>
        <w:trPr/>
        <w:tc>
          <w:tcPr>
            <w:tcW w:w="359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0.4</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0.8</w:t>
            </w:r>
          </w:p>
        </w:tc>
        <w:tc>
          <w:tcPr>
            <w:tcW w:w="209"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0.8</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0.9</w:t>
            </w:r>
          </w:p>
        </w:tc>
        <w:tc>
          <w:tcPr>
            <w:tcW w:w="209"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2027</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0.9</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Thereafter</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1.8</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5.6</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Imputed Interest</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(1.6</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right"/>
              <w:rPr/>
            </w:pPr>
            <w:r>
              <w:rPr/>
              <w:t>Present Value of Lease Payments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4.0</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right"/>
              <w:rPr/>
            </w:pPr>
            <w:r>
              <w:rPr/>
              <w:t>Less Current Portion*</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(0.6</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righ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*Included in Other Current Liabilities</w:t>
            </w:r>
          </w:p>
        </w:tc>
        <w:tc>
          <w:tcPr>
            <w:tcW w:w="1278" w:type="dxa"/>
            <w:gridSpan w:val="4"/>
            <w:tcBorders/>
            <w:shd w:fill="CCEEFF" w:val="clear"/>
            <w:vAlign w:val="center"/>
          </w:tcPr>
          <w:p>
            <w:pPr>
              <w:pStyle w:val="TableContents"/>
              <w:bidi w:val="0"/>
              <w:spacing w:before="0" w:after="283"/>
              <w:jc w:val="left"/>
              <w:rPr/>
            </w:pPr>
            <w:r>
              <w:rPr/>
              <w:t> </w:t>
            </w:r>
          </w:p>
        </w:tc>
      </w:tr>
    </w:tbl>
    <w:p>
      <w:pPr>
        <w:pStyle w:val="TextBody"/>
        <w:bidi w:val="0"/>
        <w:ind w:left="144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xml:space="preserve"> – The Company has forecasted to spend approximately $101 million for its construction program in 2023. The Company has entered into several construction contracts that, in the aggregate, obligate expenditure of an estimated $13 million in the future. The actual amount and timing of capital expenditures is dependent on the need for upgrade or replacement of existing infrastructure, customer growth, residential new home construction and sales, project scheduling, supply chain issues and continued refinement of project scope and costs. With continued upward pressure on mortgage interest rates, as well as other financial market uncertainties, there is no assurance that projected customer growth and residential new home construction and sales will occur.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PFOA Matter </w:t>
      </w:r>
      <w:r>
        <w:rPr>
          <w:rFonts w:ascii="Times New Roman;Times;Serif" w:hAnsi="Times New Roman;Times;Serif"/>
          <w:b w:val="false"/>
          <w:i w:val="false"/>
          <w:caps w:val="false"/>
          <w:smallCaps w:val="false"/>
          <w:sz w:val="20"/>
        </w:rPr>
        <w:t xml:space="preserve">– In November 2021, the Company was served with two PFOA-related class action lawsuits seeking restitution for medical, water 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Times New Roman;Times;Serif" w:hAnsi="Times New Roman;Times;Serif"/>
          <w:b w:val="false"/>
          <w:i/>
          <w:caps w:val="false"/>
          <w:smallCaps w:val="false"/>
          <w:sz w:val="20"/>
        </w:rPr>
        <w:t>Note 1 - Regulatory Notice of Non-Compliance</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Contingencies –</w:t>
      </w:r>
      <w:r>
        <w:rPr>
          <w:rFonts w:ascii="Times New Roman;Times;Serif" w:hAnsi="Times New Roman;Times;Serif"/>
          <w:b w:val="false"/>
          <w:i w:val="false"/>
          <w:caps w:val="false"/>
          <w:smallCaps w:val="false"/>
          <w:sz w:val="20"/>
        </w:rPr>
        <w:t xml:space="preserve"> 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in Control Agreements</w:t>
      </w:r>
      <w:r>
        <w:rPr>
          <w:rFonts w:ascii="Times New Roman;Times;Serif" w:hAnsi="Times New Roman;Times;Serif"/>
          <w:b w:val="false"/>
          <w:i w:val="false"/>
          <w:caps w:val="false"/>
          <w:smallCaps w:val="false"/>
          <w:sz w:val="20"/>
        </w:rPr>
        <w:t xml:space="preserve"> – The Company has Change in Control Agreements with its executive officers that provide compensation and benefits in the event of termination of employment under certain conditions in connection with a change in control of the Company.</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Employee Benefit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Pension Benefits</w:t>
      </w:r>
      <w:r>
        <w:rPr>
          <w:rFonts w:ascii="Times New Roman;Times;Serif" w:hAnsi="Times New Roman;Times;Serif"/>
          <w:b w:val="false"/>
          <w:i w:val="false"/>
          <w:caps w:val="false"/>
          <w:smallCaps w:val="false"/>
          <w:sz w:val="20"/>
        </w:rPr>
        <w:t xml:space="preserve"> – The Company’s defined benefit pension plan (Pension Plan) covers all active employees hired prior to April 1, 2007. Employees hired 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each of the six month periods ended June 30, 2023 and 2022, the Company did not make cash contributions to the Pension Plan. The Company expects to make cash contributions of approximately $1.9 million over the remainder of the current year. The Company also maintains an unfunded supplemental retirement benefit plan for certain active and retired Company officers and currently pays $0.5 million in annual benefits to the retired participants.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Postretirement Benefits</w:t>
      </w:r>
      <w:r>
        <w:rPr>
          <w:rFonts w:ascii="Times New Roman;Times;Serif" w:hAnsi="Times New Roman;Times;Serif"/>
          <w:b w:val="false"/>
          <w:i w:val="false"/>
          <w:caps w:val="false"/>
          <w:smallCaps w:val="false"/>
          <w:sz w:val="20"/>
        </w:rPr>
        <w:t xml:space="preserve"> – The Company’s retirement plan other than pensions (Other Benefits Plan) covers substantially all currently eligible retired employees. Employees hired after March 31, 2007 are not eligible to participate in this plan. Coverage includes healthcare and life insurance. For each of the six month periods ended June 30, 2023 and 2022, the Company did not make cash contributions to its Other Benefits Plan. The Company expects to make additional Other Benefits Plan cash contributions of $0.9 million over the remainder of the current year.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relating to the Company’s periodic costs (benefit) for its employee retirement benefit plans:</w:t>
      </w:r>
    </w:p>
    <w:p>
      <w:pPr>
        <w:pStyle w:val="TextBody"/>
        <w:bidi w:val="0"/>
        <w:jc w:val="left"/>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3635"/>
        <w:gridCol w:w="60"/>
        <w:gridCol w:w="140"/>
        <w:gridCol w:w="635"/>
        <w:gridCol w:w="95"/>
        <w:gridCol w:w="60"/>
        <w:gridCol w:w="140"/>
        <w:gridCol w:w="635"/>
        <w:gridCol w:w="95"/>
        <w:gridCol w:w="60"/>
        <w:gridCol w:w="140"/>
        <w:gridCol w:w="455"/>
        <w:gridCol w:w="95"/>
        <w:gridCol w:w="60"/>
        <w:gridCol w:w="140"/>
        <w:gridCol w:w="455"/>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15"/>
            <w:tcBorders/>
            <w:vAlign w:val="center"/>
          </w:tcPr>
          <w:p>
            <w:pPr>
              <w:pStyle w:val="TableContents"/>
              <w:bidi w:val="0"/>
              <w:spacing w:before="0" w:after="283"/>
              <w:jc w:val="center"/>
              <w:rPr/>
            </w:pPr>
            <w:r>
              <w:rPr/>
              <w:t>(In Thousands)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7"/>
            <w:tcBorders>
              <w:bottom w:val="single" w:sz="8" w:space="0" w:color="000000"/>
            </w:tcBorders>
            <w:tcMar>
              <w:bottom w:w="28" w:type="dxa"/>
            </w:tcMar>
            <w:vAlign w:val="center"/>
          </w:tcPr>
          <w:p>
            <w:pPr>
              <w:pStyle w:val="TableContents"/>
              <w:bidi w:val="0"/>
              <w:spacing w:before="0" w:after="283"/>
              <w:jc w:val="center"/>
              <w:rPr/>
            </w:pPr>
            <w:r>
              <w:rPr/>
              <w:t>Pension Benefits</w:t>
            </w:r>
          </w:p>
        </w:tc>
        <w:tc>
          <w:tcPr>
            <w:tcW w:w="60" w:type="dxa"/>
            <w:tcBorders/>
            <w:vAlign w:val="center"/>
          </w:tcPr>
          <w:p>
            <w:pPr>
              <w:pStyle w:val="TableContents"/>
              <w:bidi w:val="0"/>
              <w:spacing w:before="0" w:after="283"/>
              <w:jc w:val="left"/>
              <w:rPr/>
            </w:pPr>
            <w:r>
              <w:rPr/>
              <w:t> </w:t>
            </w:r>
          </w:p>
        </w:tc>
        <w:tc>
          <w:tcPr>
            <w:tcW w:w="1455" w:type="dxa"/>
            <w:gridSpan w:val="7"/>
            <w:tcBorders>
              <w:bottom w:val="single" w:sz="8" w:space="0" w:color="000000"/>
            </w:tcBorders>
            <w:tcMar>
              <w:bottom w:w="28" w:type="dxa"/>
            </w:tcMar>
            <w:vAlign w:val="center"/>
          </w:tcPr>
          <w:p>
            <w:pPr>
              <w:pStyle w:val="TableContents"/>
              <w:bidi w:val="0"/>
              <w:spacing w:before="0" w:after="283"/>
              <w:jc w:val="center"/>
              <w:rPr/>
            </w:pPr>
            <w:r>
              <w:rPr/>
              <w:t>Other Benefits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15"/>
            <w:tcBorders/>
            <w:vAlign w:val="center"/>
          </w:tcPr>
          <w:p>
            <w:pPr>
              <w:pStyle w:val="TableContents"/>
              <w:bidi w:val="0"/>
              <w:spacing w:before="0" w:after="283"/>
              <w:jc w:val="center"/>
              <w:rPr/>
            </w:pPr>
            <w:r>
              <w:rPr/>
              <w:t>Three Months Ended June 30,</w:t>
            </w:r>
          </w:p>
        </w:tc>
      </w:tr>
      <w:tr>
        <w:trPr/>
        <w:tc>
          <w:tcPr>
            <w:tcW w:w="363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3"/>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Interest Cost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402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331</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Expected Return on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(887</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Amortization of Unrecognized Losses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164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418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pPr>
            <w:r>
              <w:rPr/>
              <w:t>(48</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pPr>
            <w:r>
              <w:rPr/>
              <w:t>—</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Net Periodic Benefit Cost (Benefit)*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153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(319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(356</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635"/>
        <w:gridCol w:w="60"/>
        <w:gridCol w:w="140"/>
        <w:gridCol w:w="635"/>
        <w:gridCol w:w="95"/>
        <w:gridCol w:w="60"/>
        <w:gridCol w:w="140"/>
        <w:gridCol w:w="635"/>
        <w:gridCol w:w="95"/>
        <w:gridCol w:w="60"/>
        <w:gridCol w:w="140"/>
        <w:gridCol w:w="635"/>
        <w:gridCol w:w="95"/>
        <w:gridCol w:w="60"/>
        <w:gridCol w:w="140"/>
        <w:gridCol w:w="635"/>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5" w:type="dxa"/>
            <w:gridSpan w:val="15"/>
            <w:tcBorders/>
            <w:vAlign w:val="center"/>
          </w:tcPr>
          <w:p>
            <w:pPr>
              <w:pStyle w:val="TableContents"/>
              <w:bidi w:val="0"/>
              <w:spacing w:before="0" w:after="283"/>
              <w:jc w:val="center"/>
              <w:rPr/>
            </w:pPr>
            <w:r>
              <w:rPr/>
              <w:t>(In Thousands)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7"/>
            <w:tcBorders>
              <w:bottom w:val="single" w:sz="8" w:space="0" w:color="000000"/>
            </w:tcBorders>
            <w:tcMar>
              <w:bottom w:w="28" w:type="dxa"/>
            </w:tcMar>
            <w:vAlign w:val="center"/>
          </w:tcPr>
          <w:p>
            <w:pPr>
              <w:pStyle w:val="TableContents"/>
              <w:bidi w:val="0"/>
              <w:spacing w:before="0" w:after="283"/>
              <w:jc w:val="center"/>
              <w:rPr/>
            </w:pPr>
            <w:r>
              <w:rPr/>
              <w:t>Pension Benefits</w:t>
            </w:r>
          </w:p>
        </w:tc>
        <w:tc>
          <w:tcPr>
            <w:tcW w:w="60" w:type="dxa"/>
            <w:tcBorders/>
            <w:vAlign w:val="center"/>
          </w:tcPr>
          <w:p>
            <w:pPr>
              <w:pStyle w:val="TableContents"/>
              <w:bidi w:val="0"/>
              <w:spacing w:before="0" w:after="283"/>
              <w:jc w:val="left"/>
              <w:rPr/>
            </w:pPr>
            <w:r>
              <w:rPr/>
              <w:t> </w:t>
            </w:r>
          </w:p>
        </w:tc>
        <w:tc>
          <w:tcPr>
            <w:tcW w:w="1815" w:type="dxa"/>
            <w:gridSpan w:val="7"/>
            <w:tcBorders>
              <w:bottom w:val="single" w:sz="8" w:space="0" w:color="000000"/>
            </w:tcBorders>
            <w:tcMar>
              <w:bottom w:w="28" w:type="dxa"/>
            </w:tcMar>
            <w:vAlign w:val="center"/>
          </w:tcPr>
          <w:p>
            <w:pPr>
              <w:pStyle w:val="TableContents"/>
              <w:bidi w:val="0"/>
              <w:spacing w:before="0" w:after="283"/>
              <w:jc w:val="center"/>
              <w:rPr/>
            </w:pPr>
            <w:r>
              <w:rPr/>
              <w:t>Other Benefits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5" w:type="dxa"/>
            <w:gridSpan w:val="15"/>
            <w:tcBorders/>
            <w:vAlign w:val="center"/>
          </w:tcPr>
          <w:p>
            <w:pPr>
              <w:pStyle w:val="TableContents"/>
              <w:bidi w:val="0"/>
              <w:spacing w:before="0" w:after="283"/>
              <w:jc w:val="center"/>
              <w:rPr/>
            </w:pPr>
            <w:r>
              <w:rPr/>
              <w:t>Six Months Ended June 30,</w:t>
            </w:r>
          </w:p>
        </w:tc>
      </w:tr>
      <w:tr>
        <w:trPr/>
        <w:tc>
          <w:tcPr>
            <w:tcW w:w="363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5"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r>
      <w:tr>
        <w:trPr/>
        <w:tc>
          <w:tcPr>
            <w:tcW w:w="3635" w:type="dxa"/>
            <w:tcBorders/>
            <w:shd w:fill="CCEEFF" w:val="clear"/>
            <w:vAlign w:val="center"/>
          </w:tcPr>
          <w:p>
            <w:pPr>
              <w:pStyle w:val="TableContents"/>
              <w:bidi w:val="0"/>
              <w:spacing w:before="0" w:after="283"/>
              <w:jc w:val="left"/>
              <w:rPr/>
            </w:pPr>
            <w:r>
              <w:rPr/>
              <w:t>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399</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Interest Cost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2,134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663</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Expected Return on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(1,773</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Amortization of Unrecognized Losses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328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837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(96</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Net Periodic Benefit Cost (Benefit)*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306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(638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(711</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cost is included Operations and Maintenance expense on the consolidated statements of income; all other amounts are included in Other Income (Expense), net.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Revenue Recognition from Contracts with Customers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pStyle w:val="TextBody"/>
        <w:bidi w:val="0"/>
        <w:ind w:left="0" w:right="0" w:firstLine="292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do not contain any significant financing components.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revenues are comprised of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8"/>
        <w:gridCol w:w="60"/>
        <w:gridCol w:w="209"/>
        <w:gridCol w:w="1018"/>
        <w:gridCol w:w="142"/>
        <w:gridCol w:w="89"/>
        <w:gridCol w:w="209"/>
        <w:gridCol w:w="1018"/>
        <w:gridCol w:w="142"/>
        <w:gridCol w:w="60"/>
        <w:gridCol w:w="192"/>
        <w:gridCol w:w="935"/>
        <w:gridCol w:w="130"/>
        <w:gridCol w:w="81"/>
        <w:gridCol w:w="192"/>
        <w:gridCol w:w="935"/>
        <w:gridCol w:w="155"/>
      </w:tblGrid>
      <w:tr>
        <w:trPr/>
        <w:tc>
          <w:tcPr>
            <w:tcW w:w="4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7" w:type="dxa"/>
            <w:gridSpan w:val="15"/>
            <w:tcBorders/>
            <w:vAlign w:val="center"/>
          </w:tcPr>
          <w:p>
            <w:pPr>
              <w:pStyle w:val="TableContents"/>
              <w:bidi w:val="0"/>
              <w:spacing w:before="0" w:after="283"/>
              <w:jc w:val="center"/>
              <w:rPr/>
            </w:pPr>
            <w:r>
              <w:rPr/>
              <w:t>(In Thousands)</w:t>
            </w:r>
          </w:p>
        </w:tc>
      </w:tr>
      <w:tr>
        <w:trPr/>
        <w:tc>
          <w:tcPr>
            <w:tcW w:w="4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7" w:type="dxa"/>
            <w:gridSpan w:val="7"/>
            <w:tcBorders/>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2620" w:type="dxa"/>
            <w:gridSpan w:val="7"/>
            <w:tcBorders/>
            <w:vAlign w:val="center"/>
          </w:tcPr>
          <w:p>
            <w:pPr>
              <w:pStyle w:val="TableContents"/>
              <w:bidi w:val="0"/>
              <w:spacing w:before="0" w:after="283"/>
              <w:jc w:val="center"/>
              <w:rPr/>
            </w:pPr>
            <w:r>
              <w:rPr/>
              <w:t>Six Months Ended June 30,</w:t>
            </w:r>
          </w:p>
        </w:tc>
      </w:tr>
      <w:tr>
        <w:trPr/>
        <w:tc>
          <w:tcPr>
            <w:tcW w:w="4638"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9"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69"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7"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282" w:type="dxa"/>
            <w:gridSpan w:val="3"/>
            <w:tcBorders>
              <w:bottom w:val="single" w:sz="8" w:space="0" w:color="000000"/>
            </w:tcBorders>
            <w:tcMar>
              <w:bottom w:w="28" w:type="dxa"/>
            </w:tcMar>
            <w:vAlign w:val="center"/>
          </w:tcPr>
          <w:p>
            <w:pPr>
              <w:pStyle w:val="TableContents"/>
              <w:bidi w:val="0"/>
              <w:spacing w:before="0" w:after="283"/>
              <w:jc w:val="center"/>
              <w:rPr/>
            </w:pPr>
            <w:r>
              <w:rPr/>
              <w:t>2022</w:t>
            </w:r>
          </w:p>
        </w:tc>
      </w:tr>
      <w:tr>
        <w:trPr/>
        <w:tc>
          <w:tcPr>
            <w:tcW w:w="4638" w:type="dxa"/>
            <w:tcBorders/>
            <w:shd w:fill="CCEEFF" w:val="clear"/>
            <w:vAlign w:val="center"/>
          </w:tcPr>
          <w:p>
            <w:pPr>
              <w:pStyle w:val="TableContents"/>
              <w:bidi w:val="0"/>
              <w:spacing w:before="0" w:after="283"/>
              <w:jc w:val="left"/>
              <w:rPr>
                <w:b/>
              </w:rPr>
            </w:pPr>
            <w:r>
              <w:rPr>
                <w:b/>
              </w:rPr>
              <w:t>Regulated Tariff Sales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vAlign w:val="center"/>
          </w:tcPr>
          <w:p>
            <w:pPr>
              <w:pStyle w:val="TableContents"/>
              <w:bidi w:val="0"/>
              <w:spacing w:before="0" w:after="283"/>
              <w:jc w:val="left"/>
              <w:rPr/>
            </w:pPr>
            <w:r>
              <w:rPr/>
              <w:t>Residential</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22,653</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21,508</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41,657</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40,659</w:t>
            </w:r>
          </w:p>
        </w:tc>
        <w:tc>
          <w:tcPr>
            <w:tcW w:w="155" w:type="dxa"/>
            <w:tcBorders/>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Commercial</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6,249</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5,203</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11,627</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9,630</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vAlign w:val="center"/>
          </w:tcPr>
          <w:p>
            <w:pPr>
              <w:pStyle w:val="TableContents"/>
              <w:bidi w:val="0"/>
              <w:spacing w:before="0" w:after="283"/>
              <w:jc w:val="left"/>
              <w:rPr/>
            </w:pPr>
            <w:r>
              <w:rPr/>
              <w:t>Industrial</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2,806</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2,700</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5,645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5,295</w:t>
            </w:r>
          </w:p>
        </w:tc>
        <w:tc>
          <w:tcPr>
            <w:tcW w:w="155" w:type="dxa"/>
            <w:tcBorders/>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Fire Protection</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3,145</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3,173</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6,249</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6,294</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vAlign w:val="center"/>
          </w:tcPr>
          <w:p>
            <w:pPr>
              <w:pStyle w:val="TableContents"/>
              <w:bidi w:val="0"/>
              <w:spacing w:before="0" w:after="283"/>
              <w:jc w:val="left"/>
              <w:rPr/>
            </w:pPr>
            <w:r>
              <w:rPr/>
              <w:t>Wholesale</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4,968</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4,297</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9,521</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8,260</w:t>
            </w:r>
          </w:p>
        </w:tc>
        <w:tc>
          <w:tcPr>
            <w:tcW w:w="155" w:type="dxa"/>
            <w:tcBorders/>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b/>
              </w:rPr>
            </w:pPr>
            <w:r>
              <w:rPr>
                <w:b/>
              </w:rPr>
              <w:t>Non-Regulated Contract Operations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2,942</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2,765</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6,172</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5,665</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38" w:type="dxa"/>
            <w:tcBorders/>
            <w:vAlign w:val="center"/>
          </w:tcPr>
          <w:p>
            <w:pPr>
              <w:pStyle w:val="TableContents"/>
              <w:bidi w:val="0"/>
              <w:spacing w:before="0" w:after="283"/>
              <w:jc w:val="left"/>
              <w:rPr>
                <w:b/>
              </w:rPr>
            </w:pPr>
            <w:r>
              <w:rPr>
                <w:b/>
              </w:rPr>
              <w:t>Total Revenue from Contracts with Customers</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42,763</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39,646</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80,871</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75,803</w:t>
            </w:r>
          </w:p>
        </w:tc>
        <w:tc>
          <w:tcPr>
            <w:tcW w:w="155" w:type="dxa"/>
            <w:tcBorders/>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Other Regulated Revenues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88</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156</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163</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223</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vAlign w:val="center"/>
          </w:tcPr>
          <w:p>
            <w:pPr>
              <w:pStyle w:val="TableContents"/>
              <w:bidi w:val="0"/>
              <w:spacing w:before="0" w:after="283"/>
              <w:jc w:val="left"/>
              <w:rPr/>
            </w:pPr>
            <w:r>
              <w:rPr/>
              <w:t>Other Non-Regulated Revenues</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114</w:t>
            </w:r>
          </w:p>
        </w:tc>
        <w:tc>
          <w:tcPr>
            <w:tcW w:w="142"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110</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226</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220</w:t>
            </w:r>
          </w:p>
        </w:tc>
        <w:tc>
          <w:tcPr>
            <w:tcW w:w="155" w:type="dxa"/>
            <w:tcBorders/>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(164</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(229</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(367</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4638" w:type="dxa"/>
            <w:tcBorders/>
            <w:vAlign w:val="center"/>
          </w:tcPr>
          <w:p>
            <w:pPr>
              <w:pStyle w:val="TableContents"/>
              <w:bidi w:val="0"/>
              <w:spacing w:before="0" w:after="283"/>
              <w:jc w:val="left"/>
              <w:rPr>
                <w:b/>
              </w:rPr>
            </w:pPr>
            <w:r>
              <w:rPr>
                <w:b/>
              </w:rPr>
              <w:t>Total Revenue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1018" w:type="dxa"/>
            <w:tcBorders>
              <w:bottom w:val="single" w:sz="8" w:space="0" w:color="000000"/>
            </w:tcBorders>
            <w:tcMar>
              <w:bottom w:w="28" w:type="dxa"/>
            </w:tcMar>
            <w:vAlign w:val="center"/>
          </w:tcPr>
          <w:p>
            <w:pPr>
              <w:pStyle w:val="TableContents"/>
              <w:bidi w:val="0"/>
              <w:spacing w:before="0" w:after="283"/>
              <w:jc w:val="right"/>
              <w:rPr/>
            </w:pPr>
            <w:r>
              <w:rPr/>
              <w:t>42,801</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1018" w:type="dxa"/>
            <w:tcBorders>
              <w:bottom w:val="single" w:sz="8" w:space="0" w:color="000000"/>
            </w:tcBorders>
            <w:tcMar>
              <w:bottom w:w="28" w:type="dxa"/>
            </w:tcMar>
            <w:vAlign w:val="center"/>
          </w:tcPr>
          <w:p>
            <w:pPr>
              <w:pStyle w:val="TableContents"/>
              <w:bidi w:val="0"/>
              <w:spacing w:before="0" w:after="283"/>
              <w:jc w:val="right"/>
              <w:rPr/>
            </w:pPr>
            <w:r>
              <w:rPr/>
              <w:t>39,683</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w:t>
            </w:r>
          </w:p>
        </w:tc>
        <w:tc>
          <w:tcPr>
            <w:tcW w:w="935" w:type="dxa"/>
            <w:tcBorders>
              <w:bottom w:val="single" w:sz="8" w:space="0" w:color="000000"/>
            </w:tcBorders>
            <w:tcMar>
              <w:bottom w:w="28" w:type="dxa"/>
            </w:tcMar>
            <w:vAlign w:val="center"/>
          </w:tcPr>
          <w:p>
            <w:pPr>
              <w:pStyle w:val="TableContents"/>
              <w:bidi w:val="0"/>
              <w:spacing w:before="0" w:after="283"/>
              <w:jc w:val="right"/>
              <w:rPr/>
            </w:pPr>
            <w:r>
              <w:rPr/>
              <w:t>80,957</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w:t>
            </w:r>
          </w:p>
        </w:tc>
        <w:tc>
          <w:tcPr>
            <w:tcW w:w="935" w:type="dxa"/>
            <w:tcBorders>
              <w:bottom w:val="single" w:sz="8" w:space="0" w:color="000000"/>
            </w:tcBorders>
            <w:tcMar>
              <w:bottom w:w="28" w:type="dxa"/>
            </w:tcMar>
            <w:vAlign w:val="center"/>
          </w:tcPr>
          <w:p>
            <w:pPr>
              <w:pStyle w:val="TableContents"/>
              <w:bidi w:val="0"/>
              <w:spacing w:before="0" w:after="283"/>
              <w:jc w:val="right"/>
              <w:rPr/>
            </w:pPr>
            <w:r>
              <w:rPr/>
              <w:t>75,879</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2022.</w:t>
      </w:r>
    </w:p>
    <w:p>
      <w:pPr>
        <w:pStyle w:val="TextBody"/>
        <w:bidi w:val="0"/>
        <w:spacing w:before="120" w:after="120"/>
        <w:ind w:left="120" w:right="1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20"/>
        <w:gridCol w:w="10037"/>
      </w:tblGrid>
      <w:tr>
        <w:trPr/>
        <w:tc>
          <w:tcPr>
            <w:tcW w:w="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b w:val="false"/>
              </w:rPr>
            </w:pPr>
            <w:r>
              <w:rPr>
                <w:b w:val="false"/>
              </w:rPr>
              <w:t>-</w:t>
            </w:r>
          </w:p>
        </w:tc>
        <w:tc>
          <w:tcPr>
            <w:tcW w:w="10037" w:type="dxa"/>
            <w:tcBorders/>
            <w:vAlign w:val="center"/>
          </w:tcPr>
          <w:p>
            <w:pPr>
              <w:pStyle w:val="TableContents"/>
              <w:bidi w:val="0"/>
              <w:spacing w:before="0" w:after="283"/>
              <w:jc w:val="both"/>
              <w:rPr>
                <w:b w:val="false"/>
              </w:rPr>
            </w:pPr>
            <w:r>
              <w:rPr>
                <w:b w:val="false"/>
              </w:rPr>
              <w:t>expected financial condition, performance, prospects and earnings of the Company;</w:t>
            </w:r>
          </w:p>
        </w:tc>
      </w:tr>
    </w:tbl>
    <w:tbl>
      <w:tblPr>
        <w:tblW w:w="5000" w:type="pct"/>
        <w:jc w:val="left"/>
        <w:tblInd w:w="0" w:type="dxa"/>
        <w:tblLayout w:type="fixed"/>
        <w:tblCellMar>
          <w:top w:w="0" w:type="dxa"/>
          <w:left w:w="0" w:type="dxa"/>
          <w:bottom w:w="0" w:type="dxa"/>
          <w:right w:w="0" w:type="dxa"/>
        </w:tblCellMar>
      </w:tblPr>
      <w:tblGrid>
        <w:gridCol w:w="147"/>
        <w:gridCol w:w="369"/>
        <w:gridCol w:w="9689"/>
      </w:tblGrid>
      <w:tr>
        <w:trPr/>
        <w:tc>
          <w:tcPr>
            <w:tcW w:w="14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b w:val="false"/>
              </w:rPr>
            </w:pPr>
            <w:r>
              <w:rPr>
                <w:b w:val="false"/>
              </w:rPr>
              <w:t>-</w:t>
            </w:r>
          </w:p>
        </w:tc>
        <w:tc>
          <w:tcPr>
            <w:tcW w:w="9689" w:type="dxa"/>
            <w:tcBorders/>
            <w:vAlign w:val="center"/>
          </w:tcPr>
          <w:p>
            <w:pPr>
              <w:pStyle w:val="TableContents"/>
              <w:bidi w:val="0"/>
              <w:spacing w:before="0" w:after="283"/>
              <w:jc w:val="both"/>
              <w:rPr>
                <w:b w:val="false"/>
              </w:rPr>
            </w:pPr>
            <w:r>
              <w:rPr>
                <w:b w:val="false"/>
              </w:rPr>
              <w:t>strategic plans for growth;</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amount and timing of rate increases and other regulatory matters, including the recovery of certain costs recorded as regulatory assets;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Company’s expected liquidity needs during the upcoming fiscal year and beyond and the sources and availability of funds to meet its liquidity needs;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expected customer rates, consumption volumes, service fees, revenues, margins, expenses and operating results;</w:t>
            </w:r>
          </w:p>
        </w:tc>
      </w:tr>
    </w:tbl>
    <w:tbl>
      <w:tblPr>
        <w:tblW w:w="5000" w:type="pct"/>
        <w:jc w:val="left"/>
        <w:tblInd w:w="0" w:type="dxa"/>
        <w:tblLayout w:type="fixed"/>
        <w:tblCellMar>
          <w:top w:w="0" w:type="dxa"/>
          <w:left w:w="0" w:type="dxa"/>
          <w:bottom w:w="0" w:type="dxa"/>
          <w:right w:w="0" w:type="dxa"/>
        </w:tblCellMar>
      </w:tblPr>
      <w:tblGrid>
        <w:gridCol w:w="181"/>
        <w:gridCol w:w="455"/>
        <w:gridCol w:w="9569"/>
      </w:tblGrid>
      <w:tr>
        <w:trPr/>
        <w:tc>
          <w:tcPr>
            <w:tcW w:w="18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b w:val="false"/>
              </w:rPr>
            </w:pPr>
            <w:r>
              <w:rPr>
                <w:b w:val="false"/>
              </w:rPr>
              <w:t>-</w:t>
            </w:r>
          </w:p>
        </w:tc>
        <w:tc>
          <w:tcPr>
            <w:tcW w:w="9569" w:type="dxa"/>
            <w:tcBorders/>
            <w:vAlign w:val="center"/>
          </w:tcPr>
          <w:p>
            <w:pPr>
              <w:pStyle w:val="TableContents"/>
              <w:bidi w:val="0"/>
              <w:spacing w:before="0" w:after="283"/>
              <w:jc w:val="both"/>
              <w:rPr>
                <w:b w:val="false"/>
              </w:rPr>
            </w:pPr>
            <w:r>
              <w:rPr>
                <w:b w:val="false"/>
              </w:rPr>
              <w:t>financial projections;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expected amount of cash contributions to fund the Company’s retirement benefit plans, anticipated discount rates and rates of return on plan assets;</w:t>
            </w:r>
          </w:p>
        </w:tc>
      </w:tr>
    </w:tbl>
    <w:tbl>
      <w:tblPr>
        <w:tblW w:w="5000" w:type="pct"/>
        <w:jc w:val="left"/>
        <w:tblInd w:w="0" w:type="dxa"/>
        <w:tblLayout w:type="fixed"/>
        <w:tblCellMar>
          <w:top w:w="0" w:type="dxa"/>
          <w:left w:w="0" w:type="dxa"/>
          <w:bottom w:w="0" w:type="dxa"/>
          <w:right w:w="0" w:type="dxa"/>
        </w:tblCellMar>
      </w:tblPr>
      <w:tblGrid>
        <w:gridCol w:w="88"/>
        <w:gridCol w:w="222"/>
        <w:gridCol w:w="9895"/>
      </w:tblGrid>
      <w:tr>
        <w:trPr/>
        <w:tc>
          <w:tcPr>
            <w:tcW w:w="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val="false"/>
              </w:rPr>
            </w:pPr>
            <w:r>
              <w:rPr>
                <w:b w:val="false"/>
              </w:rPr>
              <w:t>-</w:t>
            </w:r>
          </w:p>
        </w:tc>
        <w:tc>
          <w:tcPr>
            <w:tcW w:w="9895" w:type="dxa"/>
            <w:tcBorders/>
            <w:vAlign w:val="center"/>
          </w:tcPr>
          <w:p>
            <w:pPr>
              <w:pStyle w:val="TableContents"/>
              <w:bidi w:val="0"/>
              <w:spacing w:before="0" w:after="283"/>
              <w:jc w:val="both"/>
              <w:rPr>
                <w:b w:val="false"/>
              </w:rPr>
            </w:pPr>
            <w:r>
              <w:rPr>
                <w:b w:val="false"/>
              </w:rPr>
              <w:t>the ability of the Company to pay dividends;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the Company’s compliance with environmental laws and regulations and estimations of the materiality of any related costs;</w:t>
            </w:r>
          </w:p>
        </w:tc>
      </w:tr>
    </w:tbl>
    <w:tbl>
      <w:tblPr>
        <w:tblW w:w="5000" w:type="pct"/>
        <w:jc w:val="left"/>
        <w:tblInd w:w="0" w:type="dxa"/>
        <w:tblLayout w:type="fixed"/>
        <w:tblCellMar>
          <w:top w:w="0" w:type="dxa"/>
          <w:left w:w="0" w:type="dxa"/>
          <w:bottom w:w="0" w:type="dxa"/>
          <w:right w:w="0" w:type="dxa"/>
        </w:tblCellMar>
      </w:tblPr>
      <w:tblGrid>
        <w:gridCol w:w="50"/>
        <w:gridCol w:w="127"/>
        <w:gridCol w:w="10028"/>
      </w:tblGrid>
      <w:tr>
        <w:trPr/>
        <w:tc>
          <w:tcPr>
            <w:tcW w:w="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b w:val="false"/>
              </w:rPr>
            </w:pPr>
            <w:r>
              <w:rPr>
                <w:b w:val="false"/>
              </w:rPr>
              <w:t>-</w:t>
            </w:r>
          </w:p>
        </w:tc>
        <w:tc>
          <w:tcPr>
            <w:tcW w:w="10028" w:type="dxa"/>
            <w:tcBorders/>
            <w:vAlign w:val="center"/>
          </w:tcPr>
          <w:p>
            <w:pPr>
              <w:pStyle w:val="TableContents"/>
              <w:bidi w:val="0"/>
              <w:spacing w:before="0" w:after="283"/>
              <w:jc w:val="both"/>
              <w:rPr>
                <w:b w:val="false"/>
              </w:rPr>
            </w:pPr>
            <w:r>
              <w:rPr>
                <w:b w:val="false"/>
              </w:rPr>
              <w:t>the safety and reliability of the Company’s equipment, facilities and operations;</w:t>
            </w:r>
          </w:p>
        </w:tc>
      </w:tr>
    </w:tbl>
    <w:tbl>
      <w:tblPr>
        <w:tblW w:w="5000" w:type="pct"/>
        <w:jc w:val="left"/>
        <w:tblInd w:w="0" w:type="dxa"/>
        <w:tblLayout w:type="fixed"/>
        <w:tblCellMar>
          <w:top w:w="0" w:type="dxa"/>
          <w:left w:w="0" w:type="dxa"/>
          <w:bottom w:w="0" w:type="dxa"/>
          <w:right w:w="0" w:type="dxa"/>
        </w:tblCellMar>
      </w:tblPr>
      <w:tblGrid>
        <w:gridCol w:w="44"/>
        <w:gridCol w:w="110"/>
        <w:gridCol w:w="10051"/>
      </w:tblGrid>
      <w:tr>
        <w:trPr/>
        <w:tc>
          <w:tcPr>
            <w:tcW w:w="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b w:val="false"/>
              </w:rPr>
            </w:pPr>
            <w:r>
              <w:rPr>
                <w:b w:val="false"/>
              </w:rPr>
              <w:t>-</w:t>
            </w:r>
          </w:p>
        </w:tc>
        <w:tc>
          <w:tcPr>
            <w:tcW w:w="10051" w:type="dxa"/>
            <w:tcBorders/>
            <w:vAlign w:val="center"/>
          </w:tcPr>
          <w:p>
            <w:pPr>
              <w:pStyle w:val="TableContents"/>
              <w:bidi w:val="0"/>
              <w:spacing w:before="0" w:after="283"/>
              <w:jc w:val="both"/>
              <w:rPr>
                <w:b w:val="false"/>
              </w:rPr>
            </w:pPr>
            <w:r>
              <w:rPr>
                <w:b w:val="false"/>
              </w:rPr>
              <w:t xml:space="preserve">the Company’s plans to renew municipal franchises and consents in the territories it serves; </w:t>
            </w:r>
          </w:p>
        </w:tc>
      </w:tr>
    </w:tbl>
    <w:tbl>
      <w:tblPr>
        <w:tblW w:w="5000" w:type="pct"/>
        <w:jc w:val="left"/>
        <w:tblInd w:w="0" w:type="dxa"/>
        <w:tblLayout w:type="fixed"/>
        <w:tblCellMar>
          <w:top w:w="0" w:type="dxa"/>
          <w:left w:w="0" w:type="dxa"/>
          <w:bottom w:w="0" w:type="dxa"/>
          <w:right w:w="0" w:type="dxa"/>
        </w:tblCellMar>
      </w:tblPr>
      <w:tblGrid>
        <w:gridCol w:w="322"/>
        <w:gridCol w:w="806"/>
        <w:gridCol w:w="9077"/>
      </w:tblGrid>
      <w:tr>
        <w:trPr/>
        <w:tc>
          <w:tcPr>
            <w:tcW w:w="32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b w:val="false"/>
              </w:rPr>
            </w:pPr>
            <w:r>
              <w:rPr>
                <w:b w:val="false"/>
              </w:rPr>
              <w:t>-</w:t>
            </w:r>
          </w:p>
        </w:tc>
        <w:tc>
          <w:tcPr>
            <w:tcW w:w="9077" w:type="dxa"/>
            <w:tcBorders/>
            <w:vAlign w:val="center"/>
          </w:tcPr>
          <w:p>
            <w:pPr>
              <w:pStyle w:val="TableContents"/>
              <w:bidi w:val="0"/>
              <w:spacing w:before="0" w:after="283"/>
              <w:jc w:val="both"/>
              <w:rPr>
                <w:b w:val="false"/>
              </w:rPr>
            </w:pPr>
            <w:r>
              <w:rPr>
                <w:b w:val="false"/>
              </w:rPr>
              <w:t>trends; and</w:t>
            </w:r>
          </w:p>
        </w:tc>
      </w:tr>
    </w:tbl>
    <w:tbl>
      <w:tblPr>
        <w:tblW w:w="5000" w:type="pct"/>
        <w:jc w:val="left"/>
        <w:tblInd w:w="0" w:type="dxa"/>
        <w:tblLayout w:type="fixed"/>
        <w:tblCellMar>
          <w:top w:w="0" w:type="dxa"/>
          <w:left w:w="0" w:type="dxa"/>
          <w:bottom w:w="0" w:type="dxa"/>
          <w:right w:w="0" w:type="dxa"/>
        </w:tblCellMar>
      </w:tblPr>
      <w:tblGrid>
        <w:gridCol w:w="83"/>
        <w:gridCol w:w="210"/>
        <w:gridCol w:w="9912"/>
      </w:tblGrid>
      <w:tr>
        <w:trPr/>
        <w:tc>
          <w:tcPr>
            <w:tcW w:w="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b w:val="false"/>
              </w:rPr>
            </w:pPr>
            <w:r>
              <w:rPr>
                <w:b w:val="false"/>
              </w:rPr>
              <w:t>-</w:t>
            </w:r>
          </w:p>
        </w:tc>
        <w:tc>
          <w:tcPr>
            <w:tcW w:w="9912" w:type="dxa"/>
            <w:tcBorders/>
            <w:vAlign w:val="center"/>
          </w:tcPr>
          <w:p>
            <w:pPr>
              <w:pStyle w:val="TableContents"/>
              <w:bidi w:val="0"/>
              <w:spacing w:before="0" w:after="283"/>
              <w:jc w:val="both"/>
              <w:rPr>
                <w:b w:val="false"/>
              </w:rPr>
            </w:pPr>
            <w:r>
              <w:rPr>
                <w:b w:val="false"/>
              </w:rPr>
              <w:t>the availability and quality of our water supply.</w:t>
            </w:r>
          </w:p>
        </w:tc>
      </w:tr>
    </w:tbl>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51"/>
        <w:gridCol w:w="9854"/>
      </w:tblGrid>
      <w:tr>
        <w:trPr/>
        <w:tc>
          <w:tcPr>
            <w:tcW w:w="1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b w:val="false"/>
              </w:rPr>
            </w:pPr>
            <w:r>
              <w:rPr>
                <w:b w:val="false"/>
              </w:rPr>
              <w:t>-</w:t>
            </w:r>
          </w:p>
        </w:tc>
        <w:tc>
          <w:tcPr>
            <w:tcW w:w="9854" w:type="dxa"/>
            <w:tcBorders/>
            <w:vAlign w:val="center"/>
          </w:tcPr>
          <w:p>
            <w:pPr>
              <w:pStyle w:val="TableContents"/>
              <w:bidi w:val="0"/>
              <w:spacing w:before="0" w:after="283"/>
              <w:jc w:val="both"/>
              <w:rPr>
                <w:b w:val="false"/>
              </w:rPr>
            </w:pPr>
            <w:r>
              <w:rPr>
                <w:b w:val="false"/>
              </w:rPr>
              <w:t>effects of general economic conditions;</w:t>
            </w:r>
          </w:p>
        </w:tc>
      </w:tr>
    </w:tbl>
    <w:tbl>
      <w:tblPr>
        <w:tblW w:w="5000" w:type="pct"/>
        <w:jc w:val="left"/>
        <w:tblInd w:w="0" w:type="dxa"/>
        <w:tblLayout w:type="fixed"/>
        <w:tblCellMar>
          <w:top w:w="0" w:type="dxa"/>
          <w:left w:w="0" w:type="dxa"/>
          <w:bottom w:w="0" w:type="dxa"/>
          <w:right w:w="0" w:type="dxa"/>
        </w:tblCellMar>
      </w:tblPr>
      <w:tblGrid>
        <w:gridCol w:w="38"/>
        <w:gridCol w:w="98"/>
        <w:gridCol w:w="10069"/>
      </w:tblGrid>
      <w:tr>
        <w:trPr/>
        <w:tc>
          <w:tcPr>
            <w:tcW w:w="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b w:val="false"/>
              </w:rPr>
            </w:pPr>
            <w:r>
              <w:rPr>
                <w:b w:val="false"/>
              </w:rPr>
              <w:t>-</w:t>
            </w:r>
          </w:p>
        </w:tc>
        <w:tc>
          <w:tcPr>
            <w:tcW w:w="10069" w:type="dxa"/>
            <w:tcBorders/>
            <w:vAlign w:val="center"/>
          </w:tcPr>
          <w:p>
            <w:pPr>
              <w:pStyle w:val="TableContents"/>
              <w:bidi w:val="0"/>
              <w:spacing w:before="0" w:after="283"/>
              <w:jc w:val="both"/>
              <w:rPr>
                <w:b w:val="false"/>
              </w:rPr>
            </w:pPr>
            <w:r>
              <w:rPr>
                <w:b w:val="false"/>
              </w:rPr>
              <w:t>increases in competition for growth in non-franchised markets to be potentially served by the Company;</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b w:val="false"/>
              </w:rPr>
            </w:pPr>
            <w:r>
              <w:rPr>
                <w:b w:val="false"/>
              </w:rPr>
              <w:t>-</w:t>
            </w:r>
          </w:p>
        </w:tc>
        <w:tc>
          <w:tcPr>
            <w:tcW w:w="10073" w:type="dxa"/>
            <w:tcBorders/>
            <w:vAlign w:val="center"/>
          </w:tcPr>
          <w:p>
            <w:pPr>
              <w:pStyle w:val="TableContents"/>
              <w:bidi w:val="0"/>
              <w:spacing w:before="0" w:after="283"/>
              <w:jc w:val="both"/>
              <w:rPr>
                <w:b w:val="false"/>
              </w:rPr>
            </w:pPr>
            <w:r>
              <w:rPr>
                <w:b w:val="false"/>
              </w:rPr>
              <w:t>ability of the Company to adequately control selected operating expenses which are necessary to maintain safe and proper utility services, and which may be beyond the Company’s control;</w:t>
            </w:r>
          </w:p>
        </w:tc>
      </w:tr>
    </w:tbl>
    <w:tbl>
      <w:tblPr>
        <w:tblW w:w="5000" w:type="pct"/>
        <w:jc w:val="left"/>
        <w:tblInd w:w="0" w:type="dxa"/>
        <w:tblLayout w:type="fixed"/>
        <w:tblCellMar>
          <w:top w:w="0" w:type="dxa"/>
          <w:left w:w="0" w:type="dxa"/>
          <w:bottom w:w="0" w:type="dxa"/>
          <w:right w:w="0" w:type="dxa"/>
        </w:tblCellMar>
      </w:tblPr>
      <w:tblGrid>
        <w:gridCol w:w="80"/>
        <w:gridCol w:w="203"/>
        <w:gridCol w:w="9922"/>
      </w:tblGrid>
      <w:tr>
        <w:trPr/>
        <w:tc>
          <w:tcPr>
            <w:tcW w:w="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b w:val="false"/>
              </w:rPr>
            </w:pPr>
            <w:r>
              <w:rPr>
                <w:b w:val="false"/>
              </w:rPr>
              <w:t>-</w:t>
            </w:r>
          </w:p>
        </w:tc>
        <w:tc>
          <w:tcPr>
            <w:tcW w:w="9922" w:type="dxa"/>
            <w:tcBorders/>
            <w:vAlign w:val="center"/>
          </w:tcPr>
          <w:p>
            <w:pPr>
              <w:pStyle w:val="TableContents"/>
              <w:bidi w:val="0"/>
              <w:spacing w:before="0" w:after="283"/>
              <w:jc w:val="both"/>
              <w:rPr>
                <w:b w:val="false"/>
              </w:rPr>
            </w:pPr>
            <w:r>
              <w:rPr>
                <w:b w:val="false"/>
              </w:rPr>
              <w:t>availability of adequate supplies of quality water;</w:t>
            </w:r>
          </w:p>
        </w:tc>
      </w:tr>
    </w:tbl>
    <w:tbl>
      <w:tblPr>
        <w:tblW w:w="5000" w:type="pct"/>
        <w:jc w:val="left"/>
        <w:tblInd w:w="0" w:type="dxa"/>
        <w:tblLayout w:type="fixed"/>
        <w:tblCellMar>
          <w:top w:w="0" w:type="dxa"/>
          <w:left w:w="0" w:type="dxa"/>
          <w:bottom w:w="0" w:type="dxa"/>
          <w:right w:w="0" w:type="dxa"/>
        </w:tblCellMar>
      </w:tblPr>
      <w:tblGrid>
        <w:gridCol w:w="47"/>
        <w:gridCol w:w="117"/>
        <w:gridCol w:w="10041"/>
      </w:tblGrid>
      <w:tr>
        <w:trPr/>
        <w:tc>
          <w:tcPr>
            <w:tcW w:w="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b w:val="false"/>
              </w:rPr>
            </w:pPr>
            <w:r>
              <w:rPr>
                <w:b w:val="false"/>
              </w:rPr>
              <w:t>-</w:t>
            </w:r>
          </w:p>
        </w:tc>
        <w:tc>
          <w:tcPr>
            <w:tcW w:w="10041" w:type="dxa"/>
            <w:tcBorders/>
            <w:vAlign w:val="center"/>
          </w:tcPr>
          <w:p>
            <w:pPr>
              <w:pStyle w:val="TableContents"/>
              <w:bidi w:val="0"/>
              <w:spacing w:before="0" w:after="283"/>
              <w:jc w:val="both"/>
              <w:rPr>
                <w:b w:val="false"/>
              </w:rPr>
            </w:pPr>
            <w:r>
              <w:rPr>
                <w:b w:val="false"/>
              </w:rPr>
              <w:t>actions taken by government regulators, including decisions on rate increase requests;</w:t>
            </w:r>
          </w:p>
        </w:tc>
      </w:tr>
    </w:tbl>
    <w:tbl>
      <w:tblPr>
        <w:tblW w:w="5000" w:type="pct"/>
        <w:jc w:val="left"/>
        <w:tblInd w:w="0" w:type="dxa"/>
        <w:tblLayout w:type="fixed"/>
        <w:tblCellMar>
          <w:top w:w="0" w:type="dxa"/>
          <w:left w:w="0" w:type="dxa"/>
          <w:bottom w:w="0" w:type="dxa"/>
          <w:right w:w="0" w:type="dxa"/>
        </w:tblCellMar>
      </w:tblPr>
      <w:tblGrid>
        <w:gridCol w:w="38"/>
        <w:gridCol w:w="98"/>
        <w:gridCol w:w="10069"/>
      </w:tblGrid>
      <w:tr>
        <w:trPr/>
        <w:tc>
          <w:tcPr>
            <w:tcW w:w="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b w:val="false"/>
              </w:rPr>
            </w:pPr>
            <w:r>
              <w:rPr>
                <w:b w:val="false"/>
              </w:rPr>
              <w:t>-</w:t>
            </w:r>
          </w:p>
        </w:tc>
        <w:tc>
          <w:tcPr>
            <w:tcW w:w="10069" w:type="dxa"/>
            <w:tcBorders/>
            <w:vAlign w:val="center"/>
          </w:tcPr>
          <w:p>
            <w:pPr>
              <w:pStyle w:val="TableContents"/>
              <w:bidi w:val="0"/>
              <w:spacing w:before="0" w:after="283"/>
              <w:jc w:val="both"/>
              <w:rPr>
                <w:b w:val="false"/>
              </w:rPr>
            </w:pPr>
            <w:r>
              <w:rPr>
                <w:b w:val="false"/>
              </w:rPr>
              <w:t>new or modified water quality standards and compliance with related legal and regulatory requirements;</w:t>
            </w:r>
          </w:p>
        </w:tc>
      </w:tr>
    </w:tbl>
    <w:tbl>
      <w:tblPr>
        <w:tblW w:w="5000" w:type="pct"/>
        <w:jc w:val="left"/>
        <w:tblInd w:w="0" w:type="dxa"/>
        <w:tblLayout w:type="fixed"/>
        <w:tblCellMar>
          <w:top w:w="0" w:type="dxa"/>
          <w:left w:w="0" w:type="dxa"/>
          <w:bottom w:w="0" w:type="dxa"/>
          <w:right w:w="0" w:type="dxa"/>
        </w:tblCellMar>
      </w:tblPr>
      <w:tblGrid>
        <w:gridCol w:w="52"/>
        <w:gridCol w:w="131"/>
        <w:gridCol w:w="10022"/>
      </w:tblGrid>
      <w:tr>
        <w:trPr/>
        <w:tc>
          <w:tcPr>
            <w:tcW w:w="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b w:val="false"/>
              </w:rPr>
            </w:pPr>
            <w:r>
              <w:rPr>
                <w:b w:val="false"/>
              </w:rPr>
              <w:t>-</w:t>
            </w:r>
          </w:p>
        </w:tc>
        <w:tc>
          <w:tcPr>
            <w:tcW w:w="10022" w:type="dxa"/>
            <w:tcBorders/>
            <w:vAlign w:val="center"/>
          </w:tcPr>
          <w:p>
            <w:pPr>
              <w:pStyle w:val="TableContents"/>
              <w:bidi w:val="0"/>
              <w:spacing w:before="0" w:after="283"/>
              <w:jc w:val="both"/>
              <w:rPr>
                <w:b w:val="false"/>
              </w:rPr>
            </w:pPr>
            <w:r>
              <w:rPr>
                <w:b w:val="false"/>
              </w:rPr>
              <w:t>weather variations and other natural phenomena impacting utility operations;</w:t>
            </w:r>
          </w:p>
        </w:tc>
      </w:tr>
    </w:tbl>
    <w:tbl>
      <w:tblPr>
        <w:tblW w:w="5000" w:type="pct"/>
        <w:jc w:val="left"/>
        <w:tblInd w:w="0" w:type="dxa"/>
        <w:tblLayout w:type="fixed"/>
        <w:tblCellMar>
          <w:top w:w="0" w:type="dxa"/>
          <w:left w:w="0" w:type="dxa"/>
          <w:bottom w:w="0" w:type="dxa"/>
          <w:right w:w="0" w:type="dxa"/>
        </w:tblCellMar>
      </w:tblPr>
      <w:tblGrid>
        <w:gridCol w:w="51"/>
        <w:gridCol w:w="129"/>
        <w:gridCol w:w="10025"/>
      </w:tblGrid>
      <w:tr>
        <w:trPr/>
        <w:tc>
          <w:tcPr>
            <w:tcW w:w="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b w:val="false"/>
              </w:rPr>
            </w:pPr>
            <w:r>
              <w:rPr>
                <w:b w:val="false"/>
              </w:rPr>
              <w:t>-</w:t>
            </w:r>
          </w:p>
        </w:tc>
        <w:tc>
          <w:tcPr>
            <w:tcW w:w="10025" w:type="dxa"/>
            <w:tcBorders/>
            <w:vAlign w:val="center"/>
          </w:tcPr>
          <w:p>
            <w:pPr>
              <w:pStyle w:val="TableContents"/>
              <w:bidi w:val="0"/>
              <w:spacing w:before="0" w:after="283"/>
              <w:jc w:val="both"/>
              <w:rPr>
                <w:b w:val="false"/>
              </w:rPr>
            </w:pPr>
            <w:r>
              <w:rPr>
                <w:b w:val="false"/>
              </w:rPr>
              <w:t>financial and operating risks associated with acquisitions and/or privatizations;</w:t>
            </w:r>
          </w:p>
        </w:tc>
      </w:tr>
    </w:tbl>
    <w:tbl>
      <w:tblPr>
        <w:tblW w:w="5000" w:type="pct"/>
        <w:jc w:val="left"/>
        <w:tblInd w:w="0" w:type="dxa"/>
        <w:tblLayout w:type="fixed"/>
        <w:tblCellMar>
          <w:top w:w="0" w:type="dxa"/>
          <w:left w:w="0" w:type="dxa"/>
          <w:bottom w:w="0" w:type="dxa"/>
          <w:right w:w="0" w:type="dxa"/>
        </w:tblCellMar>
      </w:tblPr>
      <w:tblGrid>
        <w:gridCol w:w="160"/>
        <w:gridCol w:w="401"/>
        <w:gridCol w:w="9644"/>
      </w:tblGrid>
      <w:tr>
        <w:trPr/>
        <w:tc>
          <w:tcPr>
            <w:tcW w:w="1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b w:val="false"/>
              </w:rPr>
            </w:pPr>
            <w:r>
              <w:rPr>
                <w:b w:val="false"/>
              </w:rPr>
              <w:t>-</w:t>
            </w:r>
          </w:p>
        </w:tc>
        <w:tc>
          <w:tcPr>
            <w:tcW w:w="9644" w:type="dxa"/>
            <w:tcBorders/>
            <w:vAlign w:val="center"/>
          </w:tcPr>
          <w:p>
            <w:pPr>
              <w:pStyle w:val="TableContents"/>
              <w:bidi w:val="0"/>
              <w:spacing w:before="0" w:after="283"/>
              <w:jc w:val="both"/>
              <w:rPr>
                <w:b w:val="false"/>
              </w:rPr>
            </w:pPr>
            <w:r>
              <w:rPr>
                <w:b w:val="false"/>
              </w:rPr>
              <w:t>acts of war or terrorism;</w:t>
            </w:r>
          </w:p>
        </w:tc>
      </w:tr>
    </w:tbl>
    <w:tbl>
      <w:tblPr>
        <w:tblW w:w="5000" w:type="pct"/>
        <w:jc w:val="left"/>
        <w:tblInd w:w="0" w:type="dxa"/>
        <w:tblLayout w:type="fixed"/>
        <w:tblCellMar>
          <w:top w:w="0" w:type="dxa"/>
          <w:left w:w="0" w:type="dxa"/>
          <w:bottom w:w="0" w:type="dxa"/>
          <w:right w:w="0" w:type="dxa"/>
        </w:tblCellMar>
      </w:tblPr>
      <w:tblGrid>
        <w:gridCol w:w="263"/>
        <w:gridCol w:w="658"/>
        <w:gridCol w:w="9284"/>
      </w:tblGrid>
      <w:tr>
        <w:trPr/>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b w:val="false"/>
              </w:rPr>
            </w:pPr>
            <w:r>
              <w:rPr>
                <w:b w:val="false"/>
              </w:rPr>
              <w:t>-</w:t>
            </w:r>
          </w:p>
        </w:tc>
        <w:tc>
          <w:tcPr>
            <w:tcW w:w="9284" w:type="dxa"/>
            <w:tcBorders/>
            <w:vAlign w:val="center"/>
          </w:tcPr>
          <w:p>
            <w:pPr>
              <w:pStyle w:val="TableContents"/>
              <w:bidi w:val="0"/>
              <w:spacing w:before="0" w:after="283"/>
              <w:jc w:val="both"/>
              <w:rPr>
                <w:b w:val="false"/>
              </w:rPr>
            </w:pPr>
            <w:r>
              <w:rPr>
                <w:b w:val="false"/>
              </w:rPr>
              <w:t>cyber-attacks;</w:t>
            </w:r>
          </w:p>
        </w:tc>
      </w:tr>
    </w:tbl>
    <w:tbl>
      <w:tblPr>
        <w:tblW w:w="5000" w:type="pct"/>
        <w:jc w:val="left"/>
        <w:tblInd w:w="0" w:type="dxa"/>
        <w:tblLayout w:type="fixed"/>
        <w:tblCellMar>
          <w:top w:w="0" w:type="dxa"/>
          <w:left w:w="0" w:type="dxa"/>
          <w:bottom w:w="0" w:type="dxa"/>
          <w:right w:w="0" w:type="dxa"/>
        </w:tblCellMar>
      </w:tblPr>
      <w:tblGrid>
        <w:gridCol w:w="79"/>
        <w:gridCol w:w="199"/>
        <w:gridCol w:w="9927"/>
      </w:tblGrid>
      <w:tr>
        <w:trPr/>
        <w:tc>
          <w:tcPr>
            <w:tcW w:w="7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val="false"/>
              </w:rPr>
            </w:pPr>
            <w:r>
              <w:rPr>
                <w:b w:val="false"/>
              </w:rPr>
              <w:t>-</w:t>
            </w:r>
          </w:p>
        </w:tc>
        <w:tc>
          <w:tcPr>
            <w:tcW w:w="9927" w:type="dxa"/>
            <w:tcBorders/>
            <w:vAlign w:val="center"/>
          </w:tcPr>
          <w:p>
            <w:pPr>
              <w:pStyle w:val="TableContents"/>
              <w:bidi w:val="0"/>
              <w:spacing w:before="0" w:after="283"/>
              <w:jc w:val="both"/>
              <w:rPr>
                <w:b w:val="false"/>
              </w:rPr>
            </w:pPr>
            <w:r>
              <w:rPr>
                <w:b w:val="false"/>
              </w:rPr>
              <w:t>changes in the pace of new housing development;</w:t>
            </w:r>
          </w:p>
        </w:tc>
      </w:tr>
    </w:tbl>
    <w:tbl>
      <w:tblPr>
        <w:tblW w:w="5000" w:type="pct"/>
        <w:jc w:val="left"/>
        <w:tblInd w:w="0" w:type="dxa"/>
        <w:tblLayout w:type="fixed"/>
        <w:tblCellMar>
          <w:top w:w="0" w:type="dxa"/>
          <w:left w:w="0" w:type="dxa"/>
          <w:bottom w:w="0" w:type="dxa"/>
          <w:right w:w="0" w:type="dxa"/>
        </w:tblCellMar>
      </w:tblPr>
      <w:tblGrid>
        <w:gridCol w:w="95"/>
        <w:gridCol w:w="240"/>
        <w:gridCol w:w="9870"/>
      </w:tblGrid>
      <w:tr>
        <w:trPr/>
        <w:tc>
          <w:tcPr>
            <w:tcW w:w="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b w:val="false"/>
              </w:rPr>
            </w:pPr>
            <w:r>
              <w:rPr>
                <w:b w:val="false"/>
              </w:rPr>
              <w:t>-</w:t>
            </w:r>
          </w:p>
        </w:tc>
        <w:tc>
          <w:tcPr>
            <w:tcW w:w="9870" w:type="dxa"/>
            <w:tcBorders/>
            <w:vAlign w:val="center"/>
          </w:tcPr>
          <w:p>
            <w:pPr>
              <w:pStyle w:val="TableContents"/>
              <w:bidi w:val="0"/>
              <w:spacing w:before="0" w:after="283"/>
              <w:jc w:val="both"/>
              <w:rPr>
                <w:b w:val="false"/>
              </w:rPr>
            </w:pPr>
            <w:r>
              <w:rPr>
                <w:b w:val="false"/>
              </w:rPr>
              <w:t xml:space="preserve">availability and cost of capital resources; </w:t>
            </w:r>
          </w:p>
        </w:tc>
      </w:tr>
    </w:tbl>
    <w:tbl>
      <w:tblPr>
        <w:tblW w:w="5000" w:type="pct"/>
        <w:jc w:val="left"/>
        <w:tblInd w:w="0" w:type="dxa"/>
        <w:tblLayout w:type="fixed"/>
        <w:tblCellMar>
          <w:top w:w="0" w:type="dxa"/>
          <w:left w:w="0" w:type="dxa"/>
          <w:bottom w:w="0" w:type="dxa"/>
          <w:right w:w="0" w:type="dxa"/>
        </w:tblCellMar>
      </w:tblPr>
      <w:tblGrid>
        <w:gridCol w:w="43"/>
        <w:gridCol w:w="110"/>
        <w:gridCol w:w="10052"/>
      </w:tblGrid>
      <w:tr>
        <w:trPr/>
        <w:tc>
          <w:tcPr>
            <w:tcW w:w="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b w:val="false"/>
              </w:rPr>
            </w:pPr>
            <w:r>
              <w:rPr>
                <w:b w:val="false"/>
              </w:rPr>
              <w:t>-</w:t>
            </w:r>
          </w:p>
        </w:tc>
        <w:tc>
          <w:tcPr>
            <w:tcW w:w="10052" w:type="dxa"/>
            <w:tcBorders/>
            <w:vAlign w:val="center"/>
          </w:tcPr>
          <w:p>
            <w:pPr>
              <w:pStyle w:val="TableContents"/>
              <w:bidi w:val="0"/>
              <w:spacing w:before="0" w:after="283"/>
              <w:jc w:val="both"/>
              <w:rPr>
                <w:b w:val="false"/>
              </w:rPr>
            </w:pPr>
            <w:r>
              <w:rPr>
                <w:b w:val="false"/>
              </w:rPr>
              <w:t>timely availability of materials and supplies for operations and critical infrastructure projects;</w:t>
            </w:r>
          </w:p>
        </w:tc>
      </w:tr>
    </w:tbl>
    <w:tbl>
      <w:tblPr>
        <w:tblW w:w="5000" w:type="pct"/>
        <w:jc w:val="left"/>
        <w:tblInd w:w="0" w:type="dxa"/>
        <w:tblLayout w:type="fixed"/>
        <w:tblCellMar>
          <w:top w:w="0" w:type="dxa"/>
          <w:left w:w="0" w:type="dxa"/>
          <w:bottom w:w="0" w:type="dxa"/>
          <w:right w:w="0" w:type="dxa"/>
        </w:tblCellMar>
      </w:tblPr>
      <w:tblGrid>
        <w:gridCol w:w="64"/>
        <w:gridCol w:w="161"/>
        <w:gridCol w:w="9980"/>
      </w:tblGrid>
      <w:tr>
        <w:trPr/>
        <w:tc>
          <w:tcPr>
            <w:tcW w:w="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b w:val="false"/>
              </w:rPr>
            </w:pPr>
            <w:r>
              <w:rPr>
                <w:b w:val="false"/>
              </w:rPr>
              <w:t>-</w:t>
            </w:r>
          </w:p>
        </w:tc>
        <w:tc>
          <w:tcPr>
            <w:tcW w:w="9980" w:type="dxa"/>
            <w:tcBorders/>
            <w:vAlign w:val="center"/>
          </w:tcPr>
          <w:p>
            <w:pPr>
              <w:pStyle w:val="TableContents"/>
              <w:bidi w:val="0"/>
              <w:spacing w:before="0" w:after="283"/>
              <w:jc w:val="both"/>
              <w:rPr>
                <w:b w:val="false"/>
              </w:rPr>
            </w:pPr>
            <w:r>
              <w:rPr>
                <w:b w:val="false"/>
              </w:rPr>
              <w:t>impact of the Novel Coronavirus (COVID-19) pandemic; and</w:t>
            </w:r>
          </w:p>
        </w:tc>
      </w:tr>
    </w:tbl>
    <w:tbl>
      <w:tblPr>
        <w:tblW w:w="5000" w:type="pct"/>
        <w:jc w:val="left"/>
        <w:tblInd w:w="0" w:type="dxa"/>
        <w:tblLayout w:type="fixed"/>
        <w:tblCellMar>
          <w:top w:w="0" w:type="dxa"/>
          <w:left w:w="0" w:type="dxa"/>
          <w:bottom w:w="0" w:type="dxa"/>
          <w:right w:w="0" w:type="dxa"/>
        </w:tblCellMar>
      </w:tblPr>
      <w:tblGrid>
        <w:gridCol w:w="84"/>
        <w:gridCol w:w="210"/>
        <w:gridCol w:w="9911"/>
      </w:tblGrid>
      <w:tr>
        <w:trPr/>
        <w:tc>
          <w:tcPr>
            <w:tcW w:w="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b w:val="false"/>
              </w:rPr>
            </w:pPr>
            <w:r>
              <w:rPr>
                <w:b w:val="false"/>
              </w:rPr>
              <w:t>-</w:t>
            </w:r>
          </w:p>
        </w:tc>
        <w:tc>
          <w:tcPr>
            <w:tcW w:w="9911" w:type="dxa"/>
            <w:tcBorders/>
            <w:vAlign w:val="center"/>
          </w:tcPr>
          <w:p>
            <w:pPr>
              <w:pStyle w:val="TableContents"/>
              <w:bidi w:val="0"/>
              <w:spacing w:before="0" w:after="283"/>
              <w:jc w:val="both"/>
              <w:rPr>
                <w:b w:val="false"/>
              </w:rPr>
            </w:pPr>
            <w:r>
              <w:rPr>
                <w:b w:val="false"/>
              </w:rPr>
              <w:t>other factors discussed elsewhere in this report.</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additional discussion of factors that may affect the Company’s business and results of operations, see Item 1A. - Risk Factors in the Company’s Annual Report on Form 10-K for the fiscal year ended December 31, 2022.</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Delaware subsidiaries, Tidewater and Southern Shores Water Company, LLC, provide water services to approximately 56,000 retail customers in New Castle, Kent and Sussex Counties, Delaware. Tidewater’s subsidiary, White Marsh, services approximately 4,500 customers in Kent and Sussex Counties through various operations and maintenance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 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Middlesex Base Water Rate Increase Request</w:t>
      </w:r>
      <w:r>
        <w:rPr>
          <w:rFonts w:ascii="Times New Roman;Times;Serif" w:hAnsi="Times New Roman;Times;Serif"/>
          <w:b w:val="false"/>
          <w:i w:val="false"/>
          <w:caps w:val="false"/>
          <w:smallCaps w:val="false"/>
          <w:sz w:val="20"/>
        </w:rPr>
        <w:t xml:space="preserve"> - In May 2023, Middlesex filed a petition with the New Jersey Board of Public Utilities (NJBPU) seeking permission to increase annual base water revenues by approximately $34 million. The request was necessitated predominantly by capital infrastructure investments Middlesex has made, or has committed to make, to ensure proper maintenance, development and improvement of its utility assets to support continued regulatory compliance and overall quality of service. We cannot predict when and whether the NJBPU will ultimately approve, deny, or reduce the amount of the request. Under New Jersey statute, the NJPBU must render a decision within nine months of filing a base rate change petition.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Middlesex President and Chief Executive Officer Retirement Announcement – </w:t>
      </w:r>
      <w:r>
        <w:rPr>
          <w:rFonts w:ascii="Times New Roman;Times;Serif" w:hAnsi="Times New Roman;Times;Serif"/>
          <w:b w:val="false"/>
          <w:i w:val="false"/>
          <w:caps w:val="false"/>
          <w:smallCaps w:val="false"/>
          <w:sz w:val="20"/>
        </w:rPr>
        <w:t>In May 2023, President and Chief Executive Officer (CEO), Dennis W. Doll announced a plan to retire upon turning age 65. Mr. Doll’s retirement is planned for the later of December 31, 2023 or, the date when a successor is duly named and effectively transitioned into the position. Mr. Doll will remain a member of the Middlesex Board of Directors (Board) through the expiration of his current term in May 2024. A search for Mr. Doll’s successor is being led by the Compensation Committee of the Board in collaboration with a nationally-recognized executive search firm.</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Pinelands’ Base Rate Increases Approved -</w:t>
      </w:r>
      <w:r>
        <w:rPr>
          <w:rFonts w:ascii="Times New Roman;Times;Serif" w:hAnsi="Times New Roman;Times;Serif"/>
          <w:b w:val="false"/>
          <w:i w:val="false"/>
          <w:caps w:val="false"/>
          <w:smallCaps w:val="false"/>
          <w:sz w:val="20"/>
        </w:rPr>
        <w:t xml:space="preserve"> On April 12, 2023, Pinelands Water and Pinelands Wastewater concluded their base rate case matters when the NJBPU approved a combined $1.0 million increase in annual base rates, effective April 15, 2023. The requests were necessitated by capital infrastructure investments the companies have made as well as increased operations and maintenance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Middlesex</w:t>
      </w:r>
      <w:r>
        <w:rPr>
          <w:rFonts w:ascii="Times New Roman;Times;Serif" w:hAnsi="Times New Roman;Times;Serif"/>
          <w:b/>
          <w:i w:val="false"/>
          <w:caps w:val="false"/>
          <w:smallCaps w:val="false"/>
          <w:sz w:val="20"/>
        </w:rPr>
        <w:t xml:space="preserve"> - </w:t>
      </w:r>
      <w:r>
        <w:rPr>
          <w:rFonts w:ascii="Times New Roman;Times;Serif" w:hAnsi="Times New Roman;Times;Serif"/>
          <w:b w:val="false"/>
          <w:i w:val="false"/>
          <w:caps w:val="false"/>
          <w:smallCaps w:val="false"/>
          <w:sz w:val="20"/>
        </w:rPr>
        <w:t>In April 2023, Middlesex received approval from the NJBPU to issue and sell up to 1.0 million shares of its common stock, without par value, through December 31, 2025. Additionally, in April 2023, Middlesex received approval from the NJBPU to borrow up to $300.0 million from the New Jersey State Revolving Fund (SRF) Program, the New Jersey Economic Development Authority, private placement and other financial institutions as needed through December 31, 2025. The Company expects to issue equity and debt securities in a series of transaction offerings over a multi-year period to help fund Middlesex’s multi-year capital construction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Middlesex closed on a $40.0 million, 5.24% private placement of First Mortgage Bonds (FMBs) with a 2043 maturity date designated as Series 2023A. Proceeds were used to reduce the Company’s outstanding balances under its bank lines of credit.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Middlesex received approval from the NJBPU to increase the number of authorized shares under the Investment Plan by 0.7 million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Tidewater</w:t>
      </w:r>
      <w:r>
        <w:rPr>
          <w:rFonts w:ascii="Times New Roman;Times;Serif" w:hAnsi="Times New Roman;Times;Serif"/>
          <w:b/>
          <w:i w:val="false"/>
          <w:caps w:val="false"/>
          <w:smallCaps w:val="false"/>
          <w:sz w:val="20"/>
        </w:rPr>
        <w:t xml:space="preserve"> - </w:t>
      </w:r>
      <w:r>
        <w:rPr>
          <w:rFonts w:ascii="Times New Roman;Times;Serif" w:hAnsi="Times New Roman;Times;Serif"/>
          <w:b w:val="false"/>
          <w:i w:val="false"/>
          <w:caps w:val="false"/>
          <w:smallCaps w:val="false"/>
          <w:sz w:val="20"/>
        </w:rPr>
        <w:t>In April 2023, Tidewater closed on three Delaware Public Service Commission (DEPSC)-approved SRF loans totaling $10.2 million, all at interest rates of 2.0% with maturity dates in 2043 and 2044. These loans are for the construction, relocation, improvement, relocation and/or interconnection of transmission mains. Tidewater has drawn a total of $1.3 million through June 30, 2023 and expects that the requisitions will continue through mid-2024.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Tidewater closed on a $20.0 million loan from CoBank, ACB (CoBank) with an interest rate of 5.71% and a 2033 maturity date. Proceeds from the loan were used to pay off Tidewater’s outstanding balances under its bank lines of credit and for other general corporate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Pinelands</w:t>
      </w:r>
      <w:r>
        <w:rPr>
          <w:rFonts w:ascii="Times New Roman;Times;Serif" w:hAnsi="Times New Roman;Times;Serif"/>
          <w:b w:val="false"/>
          <w:i w:val="false"/>
          <w:caps w:val="false"/>
          <w:smallCaps w:val="false"/>
          <w:sz w:val="20"/>
        </w:rPr>
        <w:t xml:space="preserve"> - In July 2023, Pinelands Water and Pinelands Wastewater closed on $3.9 million and $3.6 million CoBank amortizing mortgage type loans, respectively, with an interest rate of 6.17% and a final maturity date of 2043 for each loan. Proceeds from the loans were used to pay off outstanding intercompany loans with Middlesex and for ongoing capital projects.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Construction Program </w:t>
      </w:r>
      <w:r>
        <w:rPr>
          <w:rFonts w:ascii="Times New Roman;Times;Serif" w:hAnsi="Times New Roman;Times;Serif"/>
          <w:b/>
          <w:i w:val="false"/>
          <w:caps w:val="false"/>
          <w:smallCaps w:val="false"/>
          <w:color w:val="323232"/>
          <w:sz w:val="20"/>
        </w:rPr>
        <w:t xml:space="preserve">- </w:t>
      </w:r>
      <w:r>
        <w:rPr>
          <w:rFonts w:ascii="Times New Roman;Times;Serif" w:hAnsi="Times New Roman;Times;Serif"/>
          <w:b w:val="false"/>
          <w:i w:val="false"/>
          <w:caps w:val="false"/>
          <w:smallCaps w:val="false"/>
          <w:sz w:val="20"/>
        </w:rPr>
        <w:t>The Company’s multi-year capital construction program encompasses numerous projects designed to upgrade and replace utility infrastructure as well as enhance the integrity and reliability of assets to maintain and improve service for the current and future generations of water and wastewater customers. The Company plans to invest approximately $50 million in second half of 2023 in connection with projects that include, but are not limited to:</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Completion of construction of a facility to provide an enhanced treatment process at the Company’s largest wellfield located in South Plainfield, New Jersey to comply with new state water quality regulations related to perfluoroalkyl substances (PFAS), and integrate surge protection to mitigate spikes in water pressures along with enhancements to corrosion control and chlorination processes;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Replacement of approximately 24,000 linear feet of cast iron 6" water main in the Borough of Carteret and the Port Reading section of Woodbridge, New Jersey;</w:t>
            </w:r>
          </w:p>
        </w:tc>
      </w:tr>
    </w:tbl>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Replacement of Company and customer owned lead and galvanized steel service lines;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Interconnecting Tidewater’s Angola and Meadows Districts which will provide redundant capacity and storage for both districts; and</w:t>
            </w:r>
          </w:p>
        </w:tc>
      </w:tr>
    </w:tbl>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both"/>
              <w:rPr/>
            </w:pPr>
            <w:r>
              <w:rPr/>
              <w:t>Various water main replacements and improvements.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and timing of capital expenditures is dependent on project scheduling and refinement of engineering estimates for certain capital projects.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Regulatory Notice of Non-Compliance – </w:t>
      </w:r>
      <w:r>
        <w:rPr>
          <w:rFonts w:ascii="Times New Roman;Times;Serif" w:hAnsi="Times New Roman;Times;Serif"/>
          <w:b w:val="false"/>
          <w:i w:val="false"/>
          <w:caps w:val="false"/>
          <w:smallCaps w:val="false"/>
          <w:sz w:val="20"/>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standard promulgated in a NJDEP regulation that became effective in 2021.</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2021, the Company began design for construction of an enhanced treatment process at the Park Avenue Wellfield Treatment Plant to comply with the new standard prior to the regulation being enacted. At that time, the completion of enhanced treatment process was not expected until mid-2023. Consequently, in November 2021, the Company implemented an interim solution to meet the Notice requirements.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the Company accelerated the in-service date for a portion of the enhanced treatment project that allowed a restart of the Park Avenue Wellfield Treatment Plant to ensure compliance with all state and federal drinking water standards.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entered into an Administrative Consent Order (ACO) with the NJDEP with respect to the Notice, which voided any further notice regarding the fact that the permanent treatment solution was not in service by September 7, 2022 as required by the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completed the permanent construction of the Park Avenue Wellfield treatment upgrades, placed the treatment upgrades into operation, and the Company believes all water at the Park Avenue Wellfield Treatment Plant complies with the NJDEP PFOA standards. The Company believes it has complied with all current requirements of the ACO and is awaiting the NJDEP’s confirmation.</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had also initiated a separate lawsuit against the claimed polluter, 3M, seeking to hold 3M accountable for the Company’s claim that 3M introduced PFAS, which include PFOA, into the Company’s water supply at its Park Avenue Wellfield facility. A trial date is set for October 2, 2023 in the United States District Court for the District of New Jersey in Newark, New Jersey.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system infrastructure continue to grow significantly and our operating costs continue to increase in 2023 in a variety of categories. These factors led Middlesex to file for a base rate increase in May 2023. Tidewater has not yet determined the need to file for a base rate increase but continues to monitor its requirements for a rate filing in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organic residential customer growth continues in our Tidewater system but is impacted by the current and evolving macroeconomic market conditions relative to residential housing. Builders and developers in our Delaware service territory are experiencing longer home sales closing cycles due to supply chain constraints, which may be further affected by inflationary trends and the federal government’s ongoing efforts to mitigate inflation through increases in interest rates.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projected to spend approximately $268 million for the 2023-2025 capital investment program, including approximately $22 million for PFAS-related treatment upgrades, $18 million for Lead and Copper Rule compliance in the Middlesex System, $34 million on the RENEW Program, which is our ongoing initiative to replace water mains in the Middlesex System and $8 million for construction of elevated storage tanks in our Tidewater and Middlesex Systems.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profitable growth is focused on the following key areas: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left"/>
              <w:rPr/>
            </w:pPr>
            <w:r>
              <w:rPr/>
              <w:t>Invest in projects, products and services that complement our core water and wastewater competencies;</w:t>
            </w:r>
          </w:p>
        </w:tc>
      </w:tr>
    </w:tbl>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r>
              <w:rPr/>
              <w:t>Timely and adequate recovery of infrastructure investments and other costs to maintain service quality;</w:t>
            </w:r>
          </w:p>
        </w:tc>
      </w:tr>
    </w:tbl>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left"/>
              <w:rPr/>
            </w:pPr>
            <w:r>
              <w:rPr/>
              <w:t>Prudent acquisitions of investor and municipally-owned water and wastewater utilities;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Operation of municipal and industrial water and wastewater systems on a contract basis which meet our risk profile.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year 2023 is a period of significant transition for the Company based on the items noted above and elsewhere in this document, including the transition of the CEO and other elements of the Company’s succession plan, various rate case and other regulatory proceedings and various construction and financing initiatives. The timing and extent of these matters, both individually and collectively, may impact financial results in 2023. No such items however, are expected to have a material adverse effect on revenues or earnings.</w:t>
      </w:r>
    </w:p>
    <w:p>
      <w:pPr>
        <w:pStyle w:val="TextBody"/>
        <w:bidi w:val="0"/>
        <w:ind w:left="72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 by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pStyle w:val="TextBody"/>
        <w:bidi w:val="0"/>
        <w:ind w:left="0" w:right="0" w:firstLine="2355"/>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segments in the tables included below consist of the following companies: Regulated-Middlesex, Tidewater, Pinelands and Southern Shores; Non-Regulated-USA, USA-PA, and White Marsh.</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2023</w:t>
      </w:r>
    </w:p>
    <w:p>
      <w:pPr>
        <w:pStyle w:val="TextBody"/>
        <w:bidi w:val="0"/>
        <w:ind w:left="0" w:right="0" w:firstLine="720"/>
        <w:jc w:val="both"/>
        <w:rPr>
          <w:caps w:val="false"/>
          <w:smallCaps w:val="false"/>
        </w:rPr>
      </w:pPr>
      <w:r>
        <w:rPr>
          <w:caps w:val="false"/>
          <w:smallCaps w:val="false"/>
        </w:rPr>
        <w:t> </w:t>
      </w:r>
    </w:p>
    <w:tbl>
      <w:tblPr>
        <w:tblW w:w="10035" w:type="dxa"/>
        <w:jc w:val="left"/>
        <w:tblInd w:w="0" w:type="dxa"/>
        <w:tblLayout w:type="fixed"/>
        <w:tblCellMar>
          <w:top w:w="0" w:type="dxa"/>
          <w:left w:w="0" w:type="dxa"/>
          <w:bottom w:w="0" w:type="dxa"/>
          <w:right w:w="0" w:type="dxa"/>
        </w:tblCellMar>
      </w:tblPr>
      <w:tblGrid>
        <w:gridCol w:w="3635"/>
        <w:gridCol w:w="60"/>
        <w:gridCol w:w="167"/>
        <w:gridCol w:w="813"/>
        <w:gridCol w:w="95"/>
        <w:gridCol w:w="60"/>
        <w:gridCol w:w="196"/>
        <w:gridCol w:w="784"/>
        <w:gridCol w:w="60"/>
        <w:gridCol w:w="60"/>
        <w:gridCol w:w="140"/>
        <w:gridCol w:w="680"/>
        <w:gridCol w:w="95"/>
        <w:gridCol w:w="60"/>
        <w:gridCol w:w="167"/>
        <w:gridCol w:w="813"/>
        <w:gridCol w:w="60"/>
        <w:gridCol w:w="60"/>
        <w:gridCol w:w="196"/>
        <w:gridCol w:w="784"/>
        <w:gridCol w:w="95"/>
        <w:gridCol w:w="60"/>
        <w:gridCol w:w="140"/>
        <w:gridCol w:w="68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5" w:type="dxa"/>
            <w:gridSpan w:val="22"/>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65" w:type="dxa"/>
            <w:gridSpan w:val="22"/>
            <w:tcBorders/>
            <w:vAlign w:val="center"/>
          </w:tcPr>
          <w:p>
            <w:pPr>
              <w:pStyle w:val="TableContents"/>
              <w:bidi w:val="0"/>
              <w:spacing w:before="0" w:after="283"/>
              <w:jc w:val="center"/>
              <w:rPr/>
            </w:pPr>
            <w:r>
              <w:rPr/>
              <w:t>Three Months Ended June 30,</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Regulated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Non-</w:t>
              <w:br/>
              <w:t>Regulated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Regulated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Non-</w:t>
              <w:br/>
              <w:t>Regulated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39,859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2,942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42,801</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36,918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2,765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39,683</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Operations and maintenance expenses</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19,243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21,204</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17,667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1,890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19,557</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6,184</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5,670</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taxes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4,677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67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4,744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4,307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61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4,368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b/>
              </w:rPr>
            </w:pPr>
            <w:r>
              <w:rPr>
                <w:b/>
              </w:rPr>
              <w:t>Operating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9,820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849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10,669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9,336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752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10,088</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2,142</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1,944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Interest expense (benefit)</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3,251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3,251</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2,370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2,369</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Income taxes expense (benefit)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(636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295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530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265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795</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b/>
              </w:rPr>
            </w:pPr>
            <w:r>
              <w:rPr>
                <w:b/>
              </w:rPr>
              <w:t>Net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tcMar>
              <w:bottom w:w="28" w:type="dxa"/>
            </w:tcMar>
            <w:vAlign w:val="center"/>
          </w:tcPr>
          <w:p>
            <w:pPr>
              <w:pStyle w:val="TableContents"/>
              <w:bidi w:val="0"/>
              <w:spacing w:before="0" w:after="283"/>
              <w:jc w:val="right"/>
              <w:rPr/>
            </w:pPr>
            <w:r>
              <w:rPr/>
              <w:t>9,307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tcMar>
              <w:bottom w:w="28" w:type="dxa"/>
            </w:tcMar>
            <w:vAlign w:val="center"/>
          </w:tcPr>
          <w:p>
            <w:pPr>
              <w:pStyle w:val="TableContents"/>
              <w:bidi w:val="0"/>
              <w:spacing w:before="0" w:after="283"/>
              <w:jc w:val="right"/>
              <w:rPr/>
            </w:pPr>
            <w:r>
              <w:rPr/>
              <w:t>594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9,901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tcMar>
              <w:bottom w:w="28" w:type="dxa"/>
            </w:tcMar>
            <w:vAlign w:val="center"/>
          </w:tcPr>
          <w:p>
            <w:pPr>
              <w:pStyle w:val="TableContents"/>
              <w:bidi w:val="0"/>
              <w:spacing w:before="0" w:after="283"/>
              <w:jc w:val="right"/>
              <w:rPr/>
            </w:pPr>
            <w:r>
              <w:rPr/>
              <w:t>8,314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tcMar>
              <w:bottom w:w="28" w:type="dxa"/>
            </w:tcMar>
            <w:vAlign w:val="center"/>
          </w:tcPr>
          <w:p>
            <w:pPr>
              <w:pStyle w:val="TableContents"/>
              <w:bidi w:val="0"/>
              <w:spacing w:before="0" w:after="283"/>
              <w:jc w:val="right"/>
              <w:rPr/>
            </w:pPr>
            <w:r>
              <w:rPr/>
              <w:t>554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8,868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three months ended June 30, 2023 increased $3.1 million from the same period in 2022 due to the following factors:</w:t>
      </w:r>
    </w:p>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System revenues increased $2.8 million due to the implementation of the final phase of the 2021 base rate case increase on January 1, 2023 and higher contract customer demand;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Tidewater System revenues remained consistent due to higher demand and an increased customer base offset by lower new connection fees and lower revenue from a 2022 DEPSC-ordered rate deduction;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Pinelands revenues increased $0.1 million due to the implementation of a base rate increase effective April 15, 2023; and</w:t>
            </w:r>
          </w:p>
        </w:tc>
      </w:tr>
    </w:tbl>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Non-regulated revenues increased $0.2 million primarily due to higher supplemental contract services.</w:t>
            </w:r>
          </w:p>
        </w:tc>
      </w:tr>
    </w:tbl>
    <w:p>
      <w:pPr>
        <w:pStyle w:val="TextBody"/>
        <w:bidi w:val="0"/>
        <w:ind w:left="72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 and Maintenance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expenses for the three months ended June 30, 2023 increased $1.6 million from the same period in 2022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Higher demand for water and changes in water quality in our Middlesex system resulted in $1.1 million of increased variable production costs;</w:t>
            </w:r>
          </w:p>
        </w:tc>
      </w:tr>
    </w:tbl>
    <w:tbl>
      <w:tblPr>
        <w:tblW w:w="5000" w:type="pct"/>
        <w:jc w:val="left"/>
        <w:tblInd w:w="0" w:type="dxa"/>
        <w:tblLayout w:type="fixed"/>
        <w:tblCellMar>
          <w:top w:w="0" w:type="dxa"/>
          <w:left w:w="0" w:type="dxa"/>
          <w:bottom w:w="0" w:type="dxa"/>
          <w:right w:w="0" w:type="dxa"/>
        </w:tblCellMar>
      </w:tblPr>
      <w:tblGrid>
        <w:gridCol w:w="64"/>
        <w:gridCol w:w="289"/>
        <w:gridCol w:w="9852"/>
      </w:tblGrid>
      <w:tr>
        <w:trPr/>
        <w:tc>
          <w:tcPr>
            <w:tcW w:w="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Labor costs rose by $0.4 million due to annual rate increases;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Non-regulated operation and maintenance expense increased $0.2 million, primarily due to higher supplemental contract services;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Lower weather-related main break activity in our Middlesex system resulting from milder weather during the winter months resulted in $0.2 million of decreased non-labor costs; and</w:t>
            </w:r>
          </w:p>
        </w:tc>
      </w:tr>
    </w:tbl>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All other operation and maintenance expense categories increased $0.1 million.</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ind w:left="0" w:right="0" w:firstLine="4065"/>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2023 increased $0.5 million from the same period in 2022 due to a higher level of utility plant in service.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three months ended June 30, 2023 increased $0.4 million from the same period in 2022 primarily due to higher revenue related taxes on increased revenues in our Middlesex system.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three months ended June 30, 2023 increased $0.2 million from the same period in 2022 due primarily to higher Allowance for Funds Used During Construction resulting from a higher level of capital projects in progress.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three months ended June 30, 2023 increased $0.9 million from the same period in 2022 due to higher average debt outstanding and an increase in average borrowing rates.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three months ended June 30, 2023 decreased by $1.1 million from the same period in 2022, primarily associated with greater income tax benefits associated with increased repair expenditures on tangible property in the Middlesex system and lower pre-tax income.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and Earnings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three months ended June 30, 2023 increased $1.0 million as compared with the same period in 2022. Basic earnings per share were $0.56 and $0.50 for the three months ended June 30, 2023 and 2022, respectively. Diluted earnings per share were $0.55 and $0.50 for the three months ended June 30, 2023 and 2022,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2023</w:t>
      </w:r>
    </w:p>
    <w:p>
      <w:pPr>
        <w:pStyle w:val="TextBody"/>
        <w:bidi w:val="0"/>
        <w:ind w:left="0" w:right="0" w:firstLine="72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3635"/>
        <w:gridCol w:w="60"/>
        <w:gridCol w:w="167"/>
        <w:gridCol w:w="813"/>
        <w:gridCol w:w="95"/>
        <w:gridCol w:w="60"/>
        <w:gridCol w:w="196"/>
        <w:gridCol w:w="784"/>
        <w:gridCol w:w="60"/>
        <w:gridCol w:w="60"/>
        <w:gridCol w:w="140"/>
        <w:gridCol w:w="680"/>
        <w:gridCol w:w="60"/>
        <w:gridCol w:w="60"/>
        <w:gridCol w:w="167"/>
        <w:gridCol w:w="813"/>
        <w:gridCol w:w="60"/>
        <w:gridCol w:w="60"/>
        <w:gridCol w:w="196"/>
        <w:gridCol w:w="784"/>
        <w:gridCol w:w="95"/>
        <w:gridCol w:w="60"/>
        <w:gridCol w:w="140"/>
        <w:gridCol w:w="68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0" w:type="dxa"/>
            <w:gridSpan w:val="22"/>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30" w:type="dxa"/>
            <w:gridSpan w:val="22"/>
            <w:tcBorders/>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Regulated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Non-</w:t>
              <w:br/>
              <w:t>Regulated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Regulated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Non-</w:t>
              <w:br/>
              <w:t>Regulated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74,785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80,957</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70,214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5,665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75,879</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Operations and maintenance expenses</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37,173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4,289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41,462</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34,845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3,850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38,695</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12,170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11,292</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taxes</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9,038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9,168</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8,387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8,512</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Gain on Sale of Subsidiary</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5,232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5,232</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b/>
              </w:rPr>
            </w:pPr>
            <w:r>
              <w:rPr>
                <w:b/>
              </w:rPr>
              <w:t>Operating income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16,535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1,622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18,157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21,043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1,569</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22,612</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 income, net</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3,770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3,853</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3,565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3,699</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Interest expense (benefit)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5,846</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4,219</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Income taxes expense (benefit)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(172</w:t>
            </w:r>
          </w:p>
        </w:tc>
        <w:tc>
          <w:tcPr>
            <w:tcW w:w="95"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569</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397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574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tcMar>
              <w:bottom w:w="28" w:type="dxa"/>
            </w:tcMar>
            <w:vAlign w:val="center"/>
          </w:tcPr>
          <w:p>
            <w:pPr>
              <w:pStyle w:val="TableContents"/>
              <w:bidi w:val="0"/>
              <w:spacing w:before="0" w:after="283"/>
              <w:jc w:val="right"/>
              <w:rPr/>
            </w:pPr>
            <w:r>
              <w:rPr/>
              <w:t>550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1,124</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b/>
              </w:rPr>
            </w:pPr>
            <w:r>
              <w:rPr>
                <w:b/>
              </w:rPr>
              <w:t xml:space="preserve">Net income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14,631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1,136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15,767</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19,814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1,154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20,968</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six months ended June 30, 2023 increased $5.1 million from the same period in 2022 due to the following factors:</w:t>
      </w:r>
    </w:p>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System revenues increased $5.0 million due to the implementation of the final phase of the 2021 base rate case increase on January 1, 2023 and higher contract customer demand;</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Tidewater System revenues decreased $0.5 million due to lower new connection fees and lower revenue from a 2022 DEPSC-ordered rate deduction partially offset by higher demand and an increased customer base;</w:t>
            </w:r>
          </w:p>
        </w:tc>
      </w:tr>
    </w:tbl>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both"/>
              <w:rPr/>
            </w:pPr>
            <w:r>
              <w:rPr/>
              <w:t xml:space="preserve">Non-regulated revenues increased $0.5 million due to </w:t>
            </w:r>
            <w:r>
              <w:rPr>
                <w:sz w:val="20"/>
              </w:rPr>
              <w:t xml:space="preserve">higher supplemental contract services; and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Pinelands revenue increased $0.1 million due to the implementation of a base rate increase effective April 15, 2023.</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 and Maintenance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expenses for the six months ended June 30, 2023 increased $2.8 million from the same period in 2022 due to the following factors:</w:t>
      </w:r>
    </w:p>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Higher demand for water resulted in $2.0 million of increased variable production costs;</w:t>
            </w:r>
          </w:p>
        </w:tc>
      </w:tr>
    </w:tbl>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pPr>
            <w:r>
              <w:rPr/>
              <w:t>Labor costs also increased by $0.6 million due to wage increases;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rPr>
              <w:t xml:space="preserve">Non-regulated operation and maintenance expense increased $0.4 million, primarily due to </w:t>
            </w:r>
            <w:r>
              <w:rPr/>
              <w:t>higher supplemental contract services;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Lower weather-related main break activity in our Middlesex system during the winter months resulted in $0.7 million of decreased non-labor costs; and</w:t>
            </w:r>
          </w:p>
        </w:tc>
      </w:tr>
    </w:tbl>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All other operation and maintenance expense categories increased $0.5 million.</w:t>
            </w:r>
          </w:p>
        </w:tc>
      </w:tr>
    </w:tbl>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ind w:left="0" w:right="0" w:firstLine="4065"/>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2023 increased $0.9 million from the same period in 2022 due to a higher level of utility plant in service.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six months ended June 30, 2023 increased $0.7 million from the same period in 2022 primarily due to higher revenue related taxes on increased revenues in our Middlesex system.</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on Sale of Subsidiary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recognized a $5.2 million gain on the sale of its regulated Delaware wastewater subsidiary in January 2022.</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six months ended June 30, 2023 increased $0.2 million from the same period in 2022 primarily due to higher AFUDC resulting from a higher level of capital projects in progress offset by lower actuarially-determined retirement benefit plans non-service benefit.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six months ended June 30, 2023 increased $1.6 million from the same period in 2022 due to higher average debt outstanding and an increase in average borrowing rates.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six months ended June 30, 2023 decreased by $0.7 million from the same period in 2022, primarily due to greater income tax benefits associated with increased repair expenditures on tangible property in the Middlesex system and lower pretax income due to gain on the sale of a subsidiary in 2022.</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and Earnings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six months ended June 30, 2023 decreased $5.2 million as compared with the same period in 2022. Basic earnings per share were $0.89 and $1.19 for the six months ended June 30, 2023 and 2022, respectively. Diluted earnings per share were $0.88 and $1.18 for the six months ended June 30, 2023 and 2022, respectively.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operations are largely based on four factors: weather, adequate and timely rate increases, effective cost management and customer growth. The effect of those factors on net income is discussed in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2023, cash flows from operating activities increased $2.4 million to $29.3 million. The increase in cash flows from operating activities primarily resulted from higher billings from the implementation of the final phase of the 2021 base rate case increase on January 1, 2023.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2023, cash flows used in investing activities increased $14.4 million to $50.6 million due to increased utility plant expenditures in 2023 and cash received in January 2022 from the sale of Middlesex’s regulated wastewater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on the Company’s future capital expenditures and expected funding sources, see “</w:t>
      </w:r>
      <w:r>
        <w:rPr>
          <w:rFonts w:ascii="Times New Roman;Times;Serif" w:hAnsi="Times New Roman;Times;Serif"/>
          <w:b w:val="false"/>
          <w:i/>
          <w:caps w:val="false"/>
          <w:smallCaps w:val="false"/>
          <w:sz w:val="20"/>
        </w:rPr>
        <w:t>Capital Expenditures and Commitments</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2023, cash flows from financing activities increased $11.8 million to $21.9 million. The increase in cash flows provided by financing activities is due to an increase in net borrowings.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Expenditures and Commitments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program for 2023 is currently estimated to be approximately $101 million. Through June 30, 2023, we have expended $50.6 million and expect to incur approximately $50 million for capital projects for the remainder of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project that we may expend approximately $166 million for capital projects in 2024 and 2025. The actual amount and timing of capital expenditures is dependent on the need for replacement of existing infrastructure, customer growth, residential new home construction and sales, project scheduling and continued refinement of project scope and costs.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for our capital program for the remainder of 2023, we plan on utilizing some or all of the following:</w:t>
      </w:r>
    </w:p>
    <w:tbl>
      <w:tblPr>
        <w:tblW w:w="5000" w:type="pct"/>
        <w:jc w:val="left"/>
        <w:tblInd w:w="0" w:type="dxa"/>
        <w:tblLayout w:type="fixed"/>
        <w:tblCellMar>
          <w:top w:w="0" w:type="dxa"/>
          <w:left w:w="0" w:type="dxa"/>
          <w:bottom w:w="0" w:type="dxa"/>
          <w:right w:w="0" w:type="dxa"/>
        </w:tblCellMar>
      </w:tblPr>
      <w:tblGrid>
        <w:gridCol w:w="140"/>
        <w:gridCol w:w="628"/>
        <w:gridCol w:w="9437"/>
      </w:tblGrid>
      <w:tr>
        <w:trPr/>
        <w:tc>
          <w:tcPr>
            <w:tcW w:w="14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w:t>
            </w:r>
          </w:p>
        </w:tc>
        <w:tc>
          <w:tcPr>
            <w:tcW w:w="9437" w:type="dxa"/>
            <w:tcBorders/>
            <w:vAlign w:val="center"/>
          </w:tcPr>
          <w:p>
            <w:pPr>
              <w:pStyle w:val="TableContents"/>
              <w:bidi w:val="0"/>
              <w:spacing w:before="0" w:after="283"/>
              <w:jc w:val="both"/>
              <w:rPr/>
            </w:pPr>
            <w:r>
              <w:rPr/>
              <w:t>Internally generated funds;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Short-term borrowings, as needed, through $140 million of bank lines of credit established with multiple financial institutions. As of June 30, 2023, there was $116.5 million of available credit under these lines (for further discussion on Company lines of credit, see </w:t>
            </w:r>
            <w:r>
              <w:rPr>
                <w:i/>
              </w:rPr>
              <w:t>Note 6</w:t>
            </w:r>
            <w:r>
              <w:rPr/>
              <w:t xml:space="preserve"> – </w:t>
            </w:r>
            <w:r>
              <w:rPr>
                <w:i/>
              </w:rPr>
              <w:t>Short Term Borrowings</w:t>
            </w:r>
            <w:r>
              <w:rPr>
                <w:color w:val="212529"/>
              </w:rPr>
              <w:t>)</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Proceeds from long-term borrowing arrangements, including loans from private placement, CoBank and the Delaware SRF Program, which provides cost-effective financing for projects that meet certain water quality-related and/or system improvement criteria (for further discussion on long-term borrowings, see </w:t>
            </w:r>
            <w:r>
              <w:rPr>
                <w:i/>
              </w:rPr>
              <w:t xml:space="preserve">Recent Developments </w:t>
            </w:r>
            <w:r>
              <w:rPr/>
              <w:t xml:space="preserve">– </w:t>
            </w:r>
            <w:r>
              <w:rPr>
                <w:i/>
              </w:rPr>
              <w:t>Financings above</w:t>
            </w:r>
            <w:r>
              <w:rPr>
                <w:color w:val="212529"/>
              </w:rPr>
              <w:t>)</w:t>
            </w:r>
            <w:r>
              <w:rPr/>
              <w:t>; and</w:t>
            </w:r>
          </w:p>
        </w:tc>
      </w:tr>
    </w:tbl>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pPr>
            <w:r>
              <w:rPr/>
              <w:t>Proceeds from sales of common stock under the Investment Plan.</w:t>
            </w:r>
          </w:p>
        </w:tc>
      </w:tr>
    </w:tbl>
    <w:p>
      <w:pPr>
        <w:pStyle w:val="TextBody"/>
        <w:bidi w:val="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began offering shares of its common stock for purchase at a 3% discount to participants in the Investment Plan. The discount offering will continue until 200,000 shares are purchased at the discounted price or December 1, 2023, whichever event occurs first.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Middlesex received approval from the NJBPU to increase the number of authorized shares under the Investment Plan by 0.7 million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Accounting Pronouncements</w:t>
      </w:r>
      <w:r>
        <w:rPr>
          <w:rFonts w:ascii="Times New Roman;Times;Serif" w:hAnsi="Times New Roman;Times;Serif"/>
          <w:b w:val="false"/>
          <w:i w:val="false"/>
          <w:caps w:val="false"/>
          <w:smallCaps w:val="false"/>
          <w:sz w:val="20"/>
        </w:rPr>
        <w:t xml:space="preserve"> – See Note 1 of the Notes to Unaudited Condensed Consolidated Financial Statements for a discussion of recent accounting pronouncements and guidance.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Item 3. Quantitative and Qualitative Disclosures of Market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2023 to 2059. Over the next twelve months, approximately $17.5 million of the current portion of existing long-term debt instruments will mature. Applying a hypothetical change in the rate of interest charged by 10% on those borrowings, would not have a material effect on our earnings.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4.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PART II.  OTHER INFORMATION</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 w:name="a_011"/>
      <w:bookmarkStart w:id="14" w:name="a_011"/>
      <w:bookmarkEnd w:id="14"/>
    </w:p>
    <w:tbl>
      <w:tblPr>
        <w:tblW w:w="2230" w:type="dxa"/>
        <w:jc w:val="left"/>
        <w:tblInd w:w="0" w:type="dxa"/>
        <w:tblLayout w:type="fixed"/>
        <w:tblCellMar>
          <w:top w:w="0" w:type="dxa"/>
          <w:left w:w="0" w:type="dxa"/>
          <w:bottom w:w="0" w:type="dxa"/>
          <w:right w:w="0" w:type="dxa"/>
        </w:tblCellMar>
      </w:tblPr>
      <w:tblGrid>
        <w:gridCol w:w="620"/>
        <w:gridCol w:w="1610"/>
      </w:tblGrid>
      <w:tr>
        <w:trPr/>
        <w:tc>
          <w:tcPr>
            <w:tcW w:w="620" w:type="dxa"/>
            <w:tcBorders/>
            <w:vAlign w:val="center"/>
          </w:tcPr>
          <w:p>
            <w:pPr>
              <w:pStyle w:val="TableContents"/>
              <w:bidi w:val="0"/>
              <w:spacing w:before="0" w:after="283"/>
              <w:jc w:val="left"/>
              <w:rPr>
                <w:b/>
                <w:sz w:val="20"/>
              </w:rPr>
            </w:pPr>
            <w:r>
              <w:rPr>
                <w:b/>
                <w:sz w:val="20"/>
              </w:rPr>
              <w:t>Item 1.</w:t>
            </w:r>
          </w:p>
        </w:tc>
        <w:tc>
          <w:tcPr>
            <w:tcW w:w="1610" w:type="dxa"/>
            <w:tcBorders/>
            <w:vAlign w:val="center"/>
          </w:tcPr>
          <w:p>
            <w:pPr>
              <w:pStyle w:val="TableContents"/>
              <w:bidi w:val="0"/>
              <w:spacing w:before="0" w:after="283"/>
              <w:jc w:val="left"/>
              <w:rPr>
                <w:b/>
                <w:sz w:val="20"/>
              </w:rPr>
            </w:pPr>
            <w:r>
              <w:rPr>
                <w:b/>
                <w:sz w:val="20"/>
              </w:rPr>
              <w:t>Legal Proceedings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updates and amends the information provided in the Company’s Annual Report on Form 10-K (the Form 10-K) for the year ended December 31, 2022 in Part I, Item 3—Legal Proceedings. Capitalized terms used but not otherwise defined herein have the meanings set forth in the Company’s Form 10-K.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PFOA Regulatory Notice of Non-Compliance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Vera et al. v. Middlesex Water Company </w:t>
      </w:r>
      <w:r>
        <w:rPr>
          <w:rFonts w:ascii="Times New Roman;Times;Serif" w:hAnsi="Times New Roman;Times;Serif"/>
          <w:b w:val="false"/>
          <w:i w:val="false"/>
          <w:caps w:val="false"/>
          <w:smallCaps w:val="false"/>
          <w:sz w:val="20"/>
        </w:rPr>
        <w:t>– On March 21, 2023, the United States District Court for the District of New Jersey issued an order remanding the case back to the Superior Court of New Jersey. Discovery is underway in this matter.</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 w:name="a_012"/>
      <w:bookmarkStart w:id="16" w:name="a_012"/>
      <w:bookmarkEnd w:id="16"/>
    </w:p>
    <w:tbl>
      <w:tblPr>
        <w:tblW w:w="1855" w:type="dxa"/>
        <w:jc w:val="left"/>
        <w:tblInd w:w="0" w:type="dxa"/>
        <w:tblLayout w:type="fixed"/>
        <w:tblCellMar>
          <w:top w:w="0" w:type="dxa"/>
          <w:left w:w="0" w:type="dxa"/>
          <w:bottom w:w="0" w:type="dxa"/>
          <w:right w:w="0" w:type="dxa"/>
        </w:tblCellMar>
      </w:tblPr>
      <w:tblGrid>
        <w:gridCol w:w="755"/>
        <w:gridCol w:w="1100"/>
      </w:tblGrid>
      <w:tr>
        <w:trPr/>
        <w:tc>
          <w:tcPr>
            <w:tcW w:w="755" w:type="dxa"/>
            <w:tcBorders/>
            <w:vAlign w:val="center"/>
          </w:tcPr>
          <w:p>
            <w:pPr>
              <w:pStyle w:val="TableContents"/>
              <w:bidi w:val="0"/>
              <w:spacing w:before="0" w:after="283"/>
              <w:jc w:val="left"/>
              <w:rPr>
                <w:b/>
                <w:sz w:val="20"/>
              </w:rPr>
            </w:pPr>
            <w:r>
              <w:rPr>
                <w:b/>
                <w:sz w:val="20"/>
              </w:rPr>
              <w:t>Item 1A.</w:t>
            </w:r>
          </w:p>
        </w:tc>
        <w:tc>
          <w:tcPr>
            <w:tcW w:w="1100" w:type="dxa"/>
            <w:tcBorders/>
            <w:vAlign w:val="center"/>
          </w:tcPr>
          <w:p>
            <w:pPr>
              <w:pStyle w:val="TableContents"/>
              <w:bidi w:val="0"/>
              <w:spacing w:before="0" w:after="283"/>
              <w:jc w:val="left"/>
              <w:rPr>
                <w:b/>
                <w:sz w:val="20"/>
              </w:rPr>
            </w:pPr>
            <w:r>
              <w:rPr>
                <w:b/>
                <w:sz w:val="20"/>
              </w:rPr>
              <w:t>Risk Factors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about risk factors does not differ materially from those set forth in Part I, Item 1A. of the Company’s Annual Report on Form 10-K for the year ended December 31, 2022.</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 w:name="a_013"/>
      <w:bookmarkStart w:id="18" w:name="a_013"/>
      <w:bookmarkEnd w:id="18"/>
    </w:p>
    <w:tbl>
      <w:tblPr>
        <w:tblW w:w="5650" w:type="dxa"/>
        <w:jc w:val="left"/>
        <w:tblInd w:w="0" w:type="dxa"/>
        <w:tblLayout w:type="fixed"/>
        <w:tblCellMar>
          <w:top w:w="0" w:type="dxa"/>
          <w:left w:w="0" w:type="dxa"/>
          <w:bottom w:w="0" w:type="dxa"/>
          <w:right w:w="0" w:type="dxa"/>
        </w:tblCellMar>
      </w:tblPr>
      <w:tblGrid>
        <w:gridCol w:w="620"/>
        <w:gridCol w:w="5030"/>
      </w:tblGrid>
      <w:tr>
        <w:trPr/>
        <w:tc>
          <w:tcPr>
            <w:tcW w:w="620" w:type="dxa"/>
            <w:tcBorders/>
            <w:vAlign w:val="center"/>
          </w:tcPr>
          <w:p>
            <w:pPr>
              <w:pStyle w:val="TableContents"/>
              <w:bidi w:val="0"/>
              <w:spacing w:before="0" w:after="283"/>
              <w:jc w:val="left"/>
              <w:rPr>
                <w:b/>
                <w:sz w:val="20"/>
              </w:rPr>
            </w:pPr>
            <w:r>
              <w:rPr>
                <w:b/>
                <w:sz w:val="20"/>
              </w:rPr>
              <w:t>Item 2.</w:t>
            </w:r>
          </w:p>
        </w:tc>
        <w:tc>
          <w:tcPr>
            <w:tcW w:w="5030" w:type="dxa"/>
            <w:tcBorders/>
            <w:vAlign w:val="center"/>
          </w:tcPr>
          <w:p>
            <w:pPr>
              <w:pStyle w:val="TableContents"/>
              <w:bidi w:val="0"/>
              <w:spacing w:before="0" w:after="283"/>
              <w:jc w:val="left"/>
              <w:rPr>
                <w:b/>
                <w:sz w:val="20"/>
              </w:rPr>
            </w:pPr>
            <w:r>
              <w:rPr>
                <w:b/>
                <w:sz w:val="20"/>
              </w:rPr>
              <w:t>Unregistered Sales of Equity Securities and Use of Proceeds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a_014"/>
      <w:bookmarkStart w:id="20" w:name="a_014"/>
      <w:bookmarkEnd w:id="20"/>
    </w:p>
    <w:tbl>
      <w:tblPr>
        <w:tblW w:w="3310" w:type="dxa"/>
        <w:jc w:val="left"/>
        <w:tblInd w:w="0" w:type="dxa"/>
        <w:tblLayout w:type="fixed"/>
        <w:tblCellMar>
          <w:top w:w="0" w:type="dxa"/>
          <w:left w:w="0" w:type="dxa"/>
          <w:bottom w:w="0" w:type="dxa"/>
          <w:right w:w="0" w:type="dxa"/>
        </w:tblCellMar>
      </w:tblPr>
      <w:tblGrid>
        <w:gridCol w:w="620"/>
        <w:gridCol w:w="2690"/>
      </w:tblGrid>
      <w:tr>
        <w:trPr/>
        <w:tc>
          <w:tcPr>
            <w:tcW w:w="620" w:type="dxa"/>
            <w:tcBorders/>
            <w:vAlign w:val="center"/>
          </w:tcPr>
          <w:p>
            <w:pPr>
              <w:pStyle w:val="TableContents"/>
              <w:bidi w:val="0"/>
              <w:spacing w:before="0" w:after="283"/>
              <w:jc w:val="left"/>
              <w:rPr>
                <w:b/>
                <w:sz w:val="20"/>
              </w:rPr>
            </w:pPr>
            <w:r>
              <w:rPr>
                <w:b/>
                <w:sz w:val="20"/>
              </w:rPr>
              <w:t>Item 3.</w:t>
            </w:r>
          </w:p>
        </w:tc>
        <w:tc>
          <w:tcPr>
            <w:tcW w:w="2690" w:type="dxa"/>
            <w:tcBorders/>
            <w:vAlign w:val="center"/>
          </w:tcPr>
          <w:p>
            <w:pPr>
              <w:pStyle w:val="TableContents"/>
              <w:bidi w:val="0"/>
              <w:spacing w:before="0" w:after="283"/>
              <w:jc w:val="left"/>
              <w:rPr>
                <w:b/>
                <w:sz w:val="20"/>
              </w:rPr>
            </w:pPr>
            <w:r>
              <w:rPr>
                <w:b/>
                <w:sz w:val="20"/>
              </w:rPr>
              <w:t>Defaults Upon Senior Securities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a_015"/>
      <w:bookmarkStart w:id="22" w:name="a_015"/>
      <w:bookmarkEnd w:id="22"/>
    </w:p>
    <w:tbl>
      <w:tblPr>
        <w:tblW w:w="2665" w:type="dxa"/>
        <w:jc w:val="left"/>
        <w:tblInd w:w="0" w:type="dxa"/>
        <w:tblLayout w:type="fixed"/>
        <w:tblCellMar>
          <w:top w:w="0" w:type="dxa"/>
          <w:left w:w="0" w:type="dxa"/>
          <w:bottom w:w="0" w:type="dxa"/>
          <w:right w:w="0" w:type="dxa"/>
        </w:tblCellMar>
      </w:tblPr>
      <w:tblGrid>
        <w:gridCol w:w="620"/>
        <w:gridCol w:w="2045"/>
      </w:tblGrid>
      <w:tr>
        <w:trPr/>
        <w:tc>
          <w:tcPr>
            <w:tcW w:w="620" w:type="dxa"/>
            <w:tcBorders/>
            <w:vAlign w:val="center"/>
          </w:tcPr>
          <w:p>
            <w:pPr>
              <w:pStyle w:val="TableContents"/>
              <w:bidi w:val="0"/>
              <w:spacing w:before="0" w:after="283"/>
              <w:jc w:val="left"/>
              <w:rPr>
                <w:b/>
                <w:sz w:val="20"/>
              </w:rPr>
            </w:pPr>
            <w:r>
              <w:rPr>
                <w:b/>
                <w:sz w:val="20"/>
              </w:rPr>
              <w:t>Item 4.</w:t>
            </w:r>
          </w:p>
        </w:tc>
        <w:tc>
          <w:tcPr>
            <w:tcW w:w="2045" w:type="dxa"/>
            <w:tcBorders/>
            <w:vAlign w:val="center"/>
          </w:tcPr>
          <w:p>
            <w:pPr>
              <w:pStyle w:val="TableContents"/>
              <w:bidi w:val="0"/>
              <w:spacing w:before="0" w:after="283"/>
              <w:jc w:val="left"/>
              <w:rPr>
                <w:b/>
                <w:sz w:val="20"/>
              </w:rPr>
            </w:pPr>
            <w:r>
              <w:rPr>
                <w:b/>
                <w:sz w:val="20"/>
              </w:rPr>
              <w:t>Mine Safety Disclosures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 w:name="a_016"/>
      <w:bookmarkStart w:id="24" w:name="a_016"/>
      <w:bookmarkEnd w:id="24"/>
    </w:p>
    <w:tbl>
      <w:tblPr>
        <w:tblW w:w="2230" w:type="dxa"/>
        <w:jc w:val="left"/>
        <w:tblInd w:w="0" w:type="dxa"/>
        <w:tblLayout w:type="fixed"/>
        <w:tblCellMar>
          <w:top w:w="0" w:type="dxa"/>
          <w:left w:w="0" w:type="dxa"/>
          <w:bottom w:w="0" w:type="dxa"/>
          <w:right w:w="0" w:type="dxa"/>
        </w:tblCellMar>
      </w:tblPr>
      <w:tblGrid>
        <w:gridCol w:w="620"/>
        <w:gridCol w:w="1610"/>
      </w:tblGrid>
      <w:tr>
        <w:trPr/>
        <w:tc>
          <w:tcPr>
            <w:tcW w:w="620" w:type="dxa"/>
            <w:tcBorders/>
            <w:vAlign w:val="center"/>
          </w:tcPr>
          <w:p>
            <w:pPr>
              <w:pStyle w:val="TableContents"/>
              <w:bidi w:val="0"/>
              <w:spacing w:before="0" w:after="283"/>
              <w:jc w:val="left"/>
              <w:rPr>
                <w:b/>
                <w:sz w:val="20"/>
              </w:rPr>
            </w:pPr>
            <w:r>
              <w:rPr>
                <w:b/>
                <w:sz w:val="20"/>
              </w:rPr>
              <w:t>Item 5.</w:t>
            </w:r>
          </w:p>
        </w:tc>
        <w:tc>
          <w:tcPr>
            <w:tcW w:w="1610" w:type="dxa"/>
            <w:tcBorders/>
            <w:vAlign w:val="center"/>
          </w:tcPr>
          <w:p>
            <w:pPr>
              <w:pStyle w:val="TableContents"/>
              <w:bidi w:val="0"/>
              <w:spacing w:before="0" w:after="283"/>
              <w:jc w:val="left"/>
              <w:rPr>
                <w:b/>
                <w:sz w:val="20"/>
              </w:rPr>
            </w:pPr>
            <w:r>
              <w:rPr>
                <w:b/>
                <w:sz w:val="20"/>
              </w:rPr>
              <w:t>Other Information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2643"/>
        <w:gridCol w:w="7126"/>
      </w:tblGrid>
      <w:tr>
        <w:trPr/>
        <w:tc>
          <w:tcPr>
            <w:tcW w:w="43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20"/>
              </w:rPr>
            </w:pPr>
            <w:r>
              <w:rPr>
                <w:sz w:val="20"/>
              </w:rPr>
              <w:t>(a)</w:t>
            </w:r>
          </w:p>
        </w:tc>
        <w:tc>
          <w:tcPr>
            <w:tcW w:w="7126" w:type="dxa"/>
            <w:tcBorders/>
            <w:vAlign w:val="center"/>
          </w:tcPr>
          <w:p>
            <w:pPr>
              <w:pStyle w:val="TableContents"/>
              <w:bidi w:val="0"/>
              <w:spacing w:before="0" w:after="283"/>
              <w:jc w:val="left"/>
              <w:rPr/>
            </w:pPr>
            <w:r>
              <w:rPr/>
              <w:t>None.</w:t>
            </w:r>
          </w:p>
        </w:tc>
      </w:tr>
    </w:tbl>
    <w:p>
      <w:pPr>
        <w:pStyle w:val="TextBody"/>
        <w:bidi w:val="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2769"/>
        <w:gridCol w:w="7007"/>
      </w:tblGrid>
      <w:tr>
        <w:trPr/>
        <w:tc>
          <w:tcPr>
            <w:tcW w:w="42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20"/>
              </w:rPr>
            </w:pPr>
            <w:r>
              <w:rPr>
                <w:sz w:val="20"/>
              </w:rPr>
              <w:t>(b)</w:t>
            </w:r>
          </w:p>
        </w:tc>
        <w:tc>
          <w:tcPr>
            <w:tcW w:w="7007" w:type="dxa"/>
            <w:tcBorders/>
            <w:vAlign w:val="center"/>
          </w:tcPr>
          <w:p>
            <w:pPr>
              <w:pStyle w:val="TableContents"/>
              <w:bidi w:val="0"/>
              <w:spacing w:before="0" w:after="283"/>
              <w:jc w:val="left"/>
              <w:rPr/>
            </w:pPr>
            <w:r>
              <w:rPr/>
              <w:t>None.</w:t>
            </w:r>
          </w:p>
        </w:tc>
      </w:tr>
    </w:tbl>
    <w:p>
      <w:pPr>
        <w:pStyle w:val="TextBody"/>
        <w:bidi w:val="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(c)</w:t>
            </w:r>
          </w:p>
        </w:tc>
        <w:tc>
          <w:tcPr>
            <w:tcW w:w="9979" w:type="dxa"/>
            <w:tcBorders/>
            <w:vAlign w:val="center"/>
          </w:tcPr>
          <w:p>
            <w:pPr>
              <w:pStyle w:val="TableContents"/>
              <w:bidi w:val="0"/>
              <w:spacing w:before="0" w:after="283"/>
              <w:jc w:val="left"/>
              <w:rPr/>
            </w:pPr>
            <w:r>
              <w:rPr>
                <w:i/>
              </w:rPr>
              <w:t xml:space="preserve">Insider Trading Arrangements and Policies - </w:t>
            </w:r>
            <w:r>
              <w:rPr/>
              <w:t>During the three months ended June 30, 2023, no director or officer of the Company adopted or terminated a “Rule 10b5-1 trading arrangement” or “non-Rule 10b5-1 trading arrangement,” as each term is defined in Item 408(a) of Regulation S-K.</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 w:name="a_017"/>
      <w:bookmarkStart w:id="26" w:name="a_017"/>
      <w:bookmarkEnd w:id="26"/>
    </w:p>
    <w:tbl>
      <w:tblPr>
        <w:tblW w:w="10205" w:type="dxa"/>
        <w:jc w:val="left"/>
        <w:tblInd w:w="0" w:type="dxa"/>
        <w:tblLayout w:type="fixed"/>
        <w:tblCellMar>
          <w:top w:w="0" w:type="dxa"/>
          <w:left w:w="0" w:type="dxa"/>
          <w:bottom w:w="0" w:type="dxa"/>
          <w:right w:w="0" w:type="dxa"/>
        </w:tblCellMar>
      </w:tblPr>
      <w:tblGrid>
        <w:gridCol w:w="612"/>
        <w:gridCol w:w="9593"/>
      </w:tblGrid>
      <w:tr>
        <w:trPr/>
        <w:tc>
          <w:tcPr>
            <w:tcW w:w="6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5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r>
        <w:trPr/>
        <w:tc>
          <w:tcPr>
            <w:tcW w:w="612"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10.26(e)</w:t>
            </w:r>
          </w:p>
        </w:tc>
        <w:tc>
          <w:tcPr>
            <w:tcW w:w="9593" w:type="dxa"/>
            <w:tcBorders/>
            <w:vAlign w:val="center"/>
          </w:tcPr>
          <w:p>
            <w:pPr>
              <w:pStyle w:val="TableContents"/>
              <w:bidi w:val="0"/>
              <w:spacing w:before="0" w:after="283"/>
              <w:jc w:val="left"/>
              <w:rPr/>
            </w:pPr>
            <w:hyperlink w:anchor="ex10-26e.htm">
              <w:r>
                <w:rPr>
                  <w:rStyle w:val="InternetLink"/>
                  <w:rFonts w:ascii="Times New Roman;Times;Serif" w:hAnsi="Times New Roman;Times;Serif"/>
                  <w:b w:val="false"/>
                  <w:i w:val="false"/>
                  <w:caps w:val="false"/>
                  <w:smallCaps w:val="false"/>
                  <w:sz w:val="20"/>
                </w:rPr>
                <w:t>Amendment to Loan Documents, dated June 15, 2023, between the Company, Pinelands Wastewater Company, Pinelands Water Company, Tidewater Utilities, Inc., Utility Service Affiliates (Perth Amboy) Inc., Utility Service Affiliates Inc. and While Marsh Environmental Systems, Inc., and PNC Bank, N.A.</w:t>
              </w:r>
            </w:hyperlink>
          </w:p>
        </w:tc>
      </w:tr>
      <w:tr>
        <w:trPr/>
        <w:tc>
          <w:tcPr>
            <w:tcW w:w="612"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9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Section 302 Certification by Dennis W. Doll pursuant to Rules 13a-14 and 15d-14 of the Securities Exchange Act of 1934.</w:t>
              </w:r>
            </w:hyperlink>
          </w:p>
        </w:tc>
      </w:tr>
      <w:tr>
        <w:trPr/>
        <w:tc>
          <w:tcPr>
            <w:tcW w:w="612" w:type="dxa"/>
            <w:tcBorders/>
            <w:vAlign w:val="center"/>
          </w:tcPr>
          <w:p>
            <w:pPr>
              <w:pStyle w:val="TableContents"/>
              <w:bidi w:val="0"/>
              <w:spacing w:before="0" w:after="283"/>
              <w:jc w:val="both"/>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p>
        </w:tc>
        <w:tc>
          <w:tcPr>
            <w:tcW w:w="959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Section 302 Certification by A. Bruce O’Connor pursuant to Rules 13a-14 and 15d-14 of the Securities Exchange Act of 1934.</w:t>
              </w:r>
            </w:hyperlink>
          </w:p>
        </w:tc>
      </w:tr>
      <w:tr>
        <w:trPr/>
        <w:tc>
          <w:tcPr>
            <w:tcW w:w="612" w:type="dxa"/>
            <w:tcBorders/>
            <w:vAlign w:val="center"/>
          </w:tcPr>
          <w:p>
            <w:pPr>
              <w:pStyle w:val="TableContents"/>
              <w:bidi w:val="0"/>
              <w:spacing w:before="0" w:after="283"/>
              <w:jc w:val="both"/>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9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Section 906 Certification by Dennis W. Doll pursuant to 18 U.S.C. §1350, as adopted pursuant to Section 302 of the Sarbanes-Oxley Act of 2002.</w:t>
              </w:r>
            </w:hyperlink>
          </w:p>
        </w:tc>
      </w:tr>
      <w:tr>
        <w:trPr/>
        <w:tc>
          <w:tcPr>
            <w:tcW w:w="612" w:type="dxa"/>
            <w:tcBorders/>
            <w:vAlign w:val="center"/>
          </w:tcPr>
          <w:p>
            <w:pPr>
              <w:pStyle w:val="TableContents"/>
              <w:bidi w:val="0"/>
              <w:spacing w:before="0" w:after="283"/>
              <w:jc w:val="both"/>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93"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Section 906 Certification by A. Bruce O’Connor pursuant to 18 U.S.C. §1350, as adopted pursuant to Section 302 of the Sarbanes-Oxley Act of 2002.</w:t>
              </w:r>
            </w:hyperlink>
          </w:p>
        </w:tc>
      </w:tr>
    </w:tbl>
    <w:p>
      <w:pPr>
        <w:pStyle w:val="TextBody"/>
        <w:bidi w:val="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95"/>
        <w:gridCol w:w="2165"/>
      </w:tblGrid>
      <w:tr>
        <w:trPr/>
        <w:tc>
          <w:tcPr>
            <w:tcW w:w="695" w:type="dxa"/>
            <w:tcBorders/>
            <w:vAlign w:val="center"/>
          </w:tcPr>
          <w:p>
            <w:pPr>
              <w:pStyle w:val="TableContents"/>
              <w:bidi w:val="0"/>
              <w:spacing w:before="0" w:after="283"/>
              <w:jc w:val="left"/>
              <w:rPr>
                <w:sz w:val="20"/>
              </w:rPr>
            </w:pPr>
            <w:r>
              <w:rPr>
                <w:sz w:val="20"/>
              </w:rPr>
              <w:t>101.INS</w:t>
            </w:r>
          </w:p>
        </w:tc>
        <w:tc>
          <w:tcPr>
            <w:tcW w:w="2165" w:type="dxa"/>
            <w:tcBorders/>
            <w:vAlign w:val="center"/>
          </w:tcPr>
          <w:p>
            <w:pPr>
              <w:pStyle w:val="TableContents"/>
              <w:bidi w:val="0"/>
              <w:spacing w:before="0" w:after="283"/>
              <w:jc w:val="left"/>
              <w:rPr>
                <w:sz w:val="20"/>
              </w:rPr>
            </w:pPr>
            <w:r>
              <w:rPr>
                <w:sz w:val="20"/>
              </w:rPr>
              <w:t>XBRL Instance Document</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70"/>
        <w:gridCol w:w="2120"/>
      </w:tblGrid>
      <w:tr>
        <w:trPr/>
        <w:tc>
          <w:tcPr>
            <w:tcW w:w="770" w:type="dxa"/>
            <w:tcBorders/>
            <w:vAlign w:val="center"/>
          </w:tcPr>
          <w:p>
            <w:pPr>
              <w:pStyle w:val="TableContents"/>
              <w:bidi w:val="0"/>
              <w:spacing w:before="0" w:after="283"/>
              <w:jc w:val="left"/>
              <w:rPr>
                <w:sz w:val="20"/>
              </w:rPr>
            </w:pPr>
            <w:r>
              <w:rPr>
                <w:sz w:val="20"/>
              </w:rPr>
              <w:t>101.SCH</w:t>
            </w:r>
          </w:p>
        </w:tc>
        <w:tc>
          <w:tcPr>
            <w:tcW w:w="2120" w:type="dxa"/>
            <w:tcBorders/>
            <w:vAlign w:val="center"/>
          </w:tcPr>
          <w:p>
            <w:pPr>
              <w:pStyle w:val="TableContents"/>
              <w:bidi w:val="0"/>
              <w:spacing w:before="0" w:after="283"/>
              <w:jc w:val="left"/>
              <w:rPr>
                <w:sz w:val="20"/>
              </w:rPr>
            </w:pPr>
            <w:r>
              <w:rPr>
                <w:sz w:val="20"/>
              </w:rPr>
              <w:t>XBRL Schema Document</w:t>
            </w:r>
          </w:p>
        </w:tc>
      </w:tr>
    </w:tbl>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85"/>
        <w:gridCol w:w="3245"/>
      </w:tblGrid>
      <w:tr>
        <w:trPr/>
        <w:tc>
          <w:tcPr>
            <w:tcW w:w="785" w:type="dxa"/>
            <w:tcBorders/>
            <w:vAlign w:val="center"/>
          </w:tcPr>
          <w:p>
            <w:pPr>
              <w:pStyle w:val="TableContents"/>
              <w:bidi w:val="0"/>
              <w:spacing w:before="0" w:after="283"/>
              <w:jc w:val="left"/>
              <w:rPr>
                <w:sz w:val="20"/>
              </w:rPr>
            </w:pPr>
            <w:r>
              <w:rPr>
                <w:sz w:val="20"/>
              </w:rPr>
              <w:t>101.CAL</w:t>
            </w:r>
          </w:p>
        </w:tc>
        <w:tc>
          <w:tcPr>
            <w:tcW w:w="3245" w:type="dxa"/>
            <w:tcBorders/>
            <w:vAlign w:val="center"/>
          </w:tcPr>
          <w:p>
            <w:pPr>
              <w:pStyle w:val="TableContents"/>
              <w:bidi w:val="0"/>
              <w:spacing w:before="0" w:after="283"/>
              <w:jc w:val="left"/>
              <w:rPr>
                <w:sz w:val="20"/>
              </w:rPr>
            </w:pPr>
            <w:r>
              <w:rPr>
                <w:sz w:val="20"/>
              </w:rPr>
              <w:t>XBRL Calculation Linkbase Document</w:t>
            </w:r>
          </w:p>
        </w:tc>
      </w:tr>
    </w:tbl>
    <w:p>
      <w:pPr>
        <w:pStyle w:val="TextBody"/>
        <w:bidi w:val="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85"/>
        <w:gridCol w:w="2825"/>
      </w:tblGrid>
      <w:tr>
        <w:trPr/>
        <w:tc>
          <w:tcPr>
            <w:tcW w:w="785" w:type="dxa"/>
            <w:tcBorders/>
            <w:vAlign w:val="center"/>
          </w:tcPr>
          <w:p>
            <w:pPr>
              <w:pStyle w:val="TableContents"/>
              <w:bidi w:val="0"/>
              <w:spacing w:before="0" w:after="283"/>
              <w:jc w:val="left"/>
              <w:rPr>
                <w:sz w:val="20"/>
              </w:rPr>
            </w:pPr>
            <w:r>
              <w:rPr>
                <w:sz w:val="20"/>
              </w:rPr>
              <w:t>101.LAB</w:t>
            </w:r>
          </w:p>
        </w:tc>
        <w:tc>
          <w:tcPr>
            <w:tcW w:w="2825" w:type="dxa"/>
            <w:tcBorders/>
            <w:vAlign w:val="center"/>
          </w:tcPr>
          <w:p>
            <w:pPr>
              <w:pStyle w:val="TableContents"/>
              <w:bidi w:val="0"/>
              <w:spacing w:before="0" w:after="283"/>
              <w:jc w:val="left"/>
              <w:rPr>
                <w:sz w:val="20"/>
              </w:rPr>
            </w:pPr>
            <w:r>
              <w:rPr>
                <w:sz w:val="20"/>
              </w:rPr>
              <w:t>XBRL Labels Linkbase Document</w:t>
            </w:r>
          </w:p>
        </w:tc>
      </w:tr>
    </w:tbl>
    <w:p>
      <w:pPr>
        <w:pStyle w:val="TextBody"/>
        <w:bidi w:val="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5"/>
        <w:gridCol w:w="3290"/>
      </w:tblGrid>
      <w:tr>
        <w:trPr/>
        <w:tc>
          <w:tcPr>
            <w:tcW w:w="755" w:type="dxa"/>
            <w:tcBorders/>
            <w:vAlign w:val="center"/>
          </w:tcPr>
          <w:p>
            <w:pPr>
              <w:pStyle w:val="TableContents"/>
              <w:bidi w:val="0"/>
              <w:spacing w:before="0" w:after="283"/>
              <w:jc w:val="left"/>
              <w:rPr>
                <w:sz w:val="20"/>
              </w:rPr>
            </w:pPr>
            <w:r>
              <w:rPr>
                <w:sz w:val="20"/>
              </w:rPr>
              <w:t>101.PRE</w:t>
            </w:r>
          </w:p>
        </w:tc>
        <w:tc>
          <w:tcPr>
            <w:tcW w:w="3290" w:type="dxa"/>
            <w:tcBorders/>
            <w:vAlign w:val="center"/>
          </w:tcPr>
          <w:p>
            <w:pPr>
              <w:pStyle w:val="TableContents"/>
              <w:bidi w:val="0"/>
              <w:spacing w:before="0" w:after="283"/>
              <w:jc w:val="left"/>
              <w:rPr>
                <w:sz w:val="20"/>
              </w:rPr>
            </w:pPr>
            <w:r>
              <w:rPr>
                <w:sz w:val="20"/>
              </w:rPr>
              <w:t>XBRL Presentation Linkbase Document</w:t>
            </w:r>
          </w:p>
        </w:tc>
      </w:tr>
    </w:tbl>
    <w:p>
      <w:pPr>
        <w:pStyle w:val="TextBody"/>
        <w:bidi w:val="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5"/>
        <w:gridCol w:w="3125"/>
      </w:tblGrid>
      <w:tr>
        <w:trPr/>
        <w:tc>
          <w:tcPr>
            <w:tcW w:w="755" w:type="dxa"/>
            <w:tcBorders/>
            <w:vAlign w:val="center"/>
          </w:tcPr>
          <w:p>
            <w:pPr>
              <w:pStyle w:val="TableContents"/>
              <w:bidi w:val="0"/>
              <w:spacing w:before="0" w:after="283"/>
              <w:jc w:val="left"/>
              <w:rPr>
                <w:sz w:val="20"/>
              </w:rPr>
            </w:pPr>
            <w:r>
              <w:rPr>
                <w:sz w:val="20"/>
              </w:rPr>
              <w:t>101.DEF</w:t>
            </w:r>
          </w:p>
        </w:tc>
        <w:tc>
          <w:tcPr>
            <w:tcW w:w="3125" w:type="dxa"/>
            <w:tcBorders/>
            <w:vAlign w:val="center"/>
          </w:tcPr>
          <w:p>
            <w:pPr>
              <w:pStyle w:val="TableContents"/>
              <w:bidi w:val="0"/>
              <w:spacing w:before="0" w:after="283"/>
              <w:jc w:val="left"/>
              <w:rPr>
                <w:sz w:val="20"/>
              </w:rPr>
            </w:pPr>
            <w:r>
              <w:rPr>
                <w:sz w:val="20"/>
              </w:rPr>
              <w:t>XBRL Definition Linkbase Document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sz w:val="20"/>
              </w:rPr>
            </w:pPr>
            <w:r>
              <w:rPr>
                <w:sz w:val="20"/>
              </w:rPr>
              <w:t>104</w:t>
            </w:r>
          </w:p>
        </w:tc>
        <w:tc>
          <w:tcPr>
            <w:tcW w:w="9855" w:type="dxa"/>
            <w:tcBorders/>
            <w:vAlign w:val="center"/>
          </w:tcPr>
          <w:p>
            <w:pPr>
              <w:pStyle w:val="TableContents"/>
              <w:bidi w:val="0"/>
              <w:spacing w:before="0" w:after="283"/>
              <w:jc w:val="left"/>
              <w:rPr/>
            </w:pPr>
            <w:r>
              <w:rPr/>
              <w:t>Cover Page Interactive Data File – the cover page interactive data file does not appear in the Interactive Data File because its XBRL tags are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18"/>
      <w:bookmarkEnd w:id="27"/>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ind w:left="72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320"/>
        <w:gridCol w:w="2945"/>
        <w:gridCol w:w="75"/>
      </w:tblGrid>
      <w:tr>
        <w:trPr/>
        <w:tc>
          <w:tcPr>
            <w:tcW w:w="7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sz w:val="20"/>
              </w:rPr>
            </w:pPr>
            <w:r>
              <w:rPr>
                <w:sz w:val="20"/>
              </w:rPr>
              <w:t>MIDDLESEX WATER COMPANY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/s/A. Bruce O’Connor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A. Bruce O’Connor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Senior Vice President, Treasurer and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ind w:left="5130" w:right="0" w:hanging="0"/>
        <w:jc w:val="left"/>
        <w:rPr>
          <w:caps w:val="false"/>
          <w:smallCaps w:val="false"/>
        </w:rPr>
      </w:pPr>
      <w:r>
        <w:rPr>
          <w:caps w:val="false"/>
          <w:smallCaps w:val="false"/>
        </w:rPr>
        <w:t> </w:t>
      </w:r>
    </w:p>
    <w:p>
      <w:pPr>
        <w:pStyle w:val="TextBody"/>
        <w:bidi w:val="0"/>
        <w:ind w:left="513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2023</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5" w:after="5"/>
        <w:ind w:left="5" w:right="5" w:hanging="0"/>
        <w:jc w:val="left"/>
        <w:rPr>
          <w:rFonts w:ascii="Times New Roman;Times;Serif" w:hAnsi="Times New Roman;Times;Serif"/>
          <w:b w:val="false"/>
          <w:i w:val="false"/>
          <w:caps w:val="false"/>
          <w:smallCaps w:val="false"/>
          <w:sz w:val="20"/>
        </w:rPr>
      </w:pPr>
      <w:bookmarkStart w:id="28" w:name="ex10-26e.htm"/>
      <w:bookmarkStart w:id="29" w:name="ksex1026e"/>
      <w:bookmarkEnd w:id="28"/>
      <w:bookmarkEnd w:id="29"/>
      <w:r>
        <w:rPr>
          <w:rFonts w:ascii="Times New Roman;Times;Serif" w:hAnsi="Times New Roman;Times;Serif"/>
          <w:b w:val="false"/>
          <w:i w:val="false"/>
          <w:caps w:val="false"/>
          <w:smallCaps w:val="false"/>
          <w:sz w:val="20"/>
        </w:rPr>
        <w:t>Exhibit 10.26(e)</w:t>
      </w:r>
      <w:r>
        <w:br w:type="page"/>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49" w:after="49"/>
        <w:ind w:left="100" w:right="49" w:hanging="0"/>
        <w:jc w:val="left"/>
        <w:rPr>
          <w:rFonts w:ascii="Times New Roman;Times;Serif" w:hAnsi="Times New Roman;Times;Serif"/>
          <w:b/>
          <w:i w:val="false"/>
          <w:caps w:val="false"/>
          <w:smallCaps w:val="false"/>
          <w:sz w:val="36"/>
        </w:rPr>
      </w:pPr>
      <w:r>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1209675" cy="571500"/>
            <wp:effectExtent l="0" t="0" r="0" b="0"/>
            <wp:wrapSquare wrapText="lef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9675" cy="571500"/>
                    </a:xfrm>
                    <a:prstGeom prst="rect">
                      <a:avLst/>
                    </a:prstGeom>
                  </pic:spPr>
                </pic:pic>
              </a:graphicData>
            </a:graphic>
          </wp:anchor>
        </w:drawing>
      </w:r>
      <w:r>
        <w:rPr>
          <w:rFonts w:ascii="Times New Roman;Times;Serif" w:hAnsi="Times New Roman;Times;Serif"/>
          <w:b/>
          <w:i w:val="false"/>
          <w:caps w:val="false"/>
          <w:smallCaps w:val="false"/>
          <w:sz w:val="36"/>
        </w:rPr>
        <w:t>Amendment to Loan Documents</w:t>
      </w:r>
    </w:p>
    <w:p>
      <w:pPr>
        <w:pStyle w:val="TextBody"/>
        <w:bidi w:val="0"/>
        <w:spacing w:before="0" w:after="283"/>
        <w:jc w:val="left"/>
        <w:rPr/>
      </w:pPr>
      <w:r>
        <w:rPr/>
      </w:r>
    </w:p>
    <w:p>
      <w:pPr>
        <w:pStyle w:val="TextBody"/>
        <w:bidi w:val="0"/>
        <w:jc w:val="left"/>
        <w:rPr>
          <w:caps w:val="false"/>
          <w:smallCaps w:val="false"/>
        </w:rPr>
      </w:pPr>
      <w:r>
        <w:rPr>
          <w:caps w:val="false"/>
          <w:smallCaps w:val="false"/>
        </w:rPr>
        <w:t xml:space="preserve">  </w:t>
      </w:r>
    </w:p>
    <w:p>
      <w:pPr>
        <w:pStyle w:val="TextBody"/>
        <w:bidi w:val="0"/>
        <w:ind w:left="100" w:right="273"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AMENDMENT TO LOAN DOCUMENTS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made as of June 15, 2023, by and between </w:t>
      </w:r>
      <w:r>
        <w:rPr>
          <w:rFonts w:ascii="Times New Roman;Times;Serif" w:hAnsi="Times New Roman;Times;Serif"/>
          <w:b/>
          <w:i w:val="false"/>
          <w:caps w:val="false"/>
          <w:smallCaps w:val="false"/>
          <w:sz w:val="20"/>
        </w:rPr>
        <w:t>MIDDLESEX WATER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PINELANDS WASTEWATER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PINELANDS WATER COMPANY, TIDEWATER UTILITIES,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UTILITY SERVICE AFFILIATES (PERTH AMBOY)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UTILITY SERVICE AFFILIATES INC.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WHITE MARSH ENVIRONMENTAL SYSTEMS, INC.</w:t>
      </w:r>
      <w:r>
        <w:rPr>
          <w:rFonts w:ascii="Times New Roman;Times;Serif" w:hAnsi="Times New Roman;Times;Serif"/>
          <w:b w:val="false"/>
          <w:i w:val="false"/>
          <w:caps w:val="false"/>
          <w:smallCaps w:val="false"/>
          <w:sz w:val="20"/>
        </w:rPr>
        <w:t xml:space="preserve"> (individually and collectively,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PNC BANK, NATIONAL ASSOCIATION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173" w:right="17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jc w:val="left"/>
        <w:rPr>
          <w:caps w:val="false"/>
          <w:smallCaps w:val="false"/>
        </w:rPr>
      </w:pPr>
      <w:r>
        <w:rPr>
          <w:caps w:val="false"/>
          <w:smallCaps w:val="false"/>
        </w:rPr>
        <w:t> </w:t>
      </w:r>
    </w:p>
    <w:p>
      <w:pPr>
        <w:pStyle w:val="TextBody"/>
        <w:bidi w:val="0"/>
        <w:ind w:left="100" w:right="27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or another obligor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which evidence or secure some or all of the indebtedness and other obligations of the Borrower to the Bank for one or more loans or other extensions of credit (as used herein, collectively, together with the Obligations, if and as defined in the Loan Documents,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Any initially capitalized terms used in this Amendment without definition shall have the meanings assigned to those terms in the Loan Documents.</w:t>
      </w:r>
    </w:p>
    <w:p>
      <w:pPr>
        <w:pStyle w:val="TextBody"/>
        <w:bidi w:val="0"/>
        <w:jc w:val="left"/>
        <w:rPr>
          <w:caps w:val="false"/>
          <w:smallCaps w:val="false"/>
        </w:rPr>
      </w:pPr>
      <w:r>
        <w:rPr>
          <w:caps w:val="false"/>
          <w:smallCaps w:val="false"/>
        </w:rPr>
        <w:t> </w:t>
      </w:r>
    </w:p>
    <w:p>
      <w:pPr>
        <w:pStyle w:val="TextBody"/>
        <w:bidi w:val="0"/>
        <w:ind w:left="100" w:right="27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the Bank desire to amend the Loan Documents as provided for in this Amendment.</w:t>
      </w:r>
    </w:p>
    <w:p>
      <w:pPr>
        <w:pStyle w:val="TextBody"/>
        <w:bidi w:val="0"/>
        <w:jc w:val="left"/>
        <w:rPr>
          <w:caps w:val="false"/>
          <w:smallCaps w:val="false"/>
        </w:rPr>
      </w:pPr>
      <w:r>
        <w:rPr>
          <w:caps w:val="false"/>
          <w:smallCaps w:val="false"/>
        </w:rPr>
        <w:t> </w:t>
      </w:r>
    </w:p>
    <w:p>
      <w:pPr>
        <w:pStyle w:val="TextBody"/>
        <w:bidi w:val="0"/>
        <w:ind w:left="100" w:right="281"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mutual covenants herein contained and intending to be legally bound hereby, the parties hereto agree as follows:</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100" w:right="27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Certain of the Loan Documents are amended as set forth in Exhibit A. Any and all references to any Loan Document in any other Loan Document shall be deemed to refer to such Loan Document as amended by this Amendment. This Amendment is deemed incorporated into each of the Loan Documents. To the extent that any term or provision of this Amendment is or may be inconsistent with any term or provision in any Loan Document, the terms and provisions of this Amendment shall control.</w:t>
      </w:r>
    </w:p>
    <w:p>
      <w:pPr>
        <w:pStyle w:val="TextBody"/>
        <w:bidi w:val="0"/>
        <w:jc w:val="left"/>
        <w:rPr>
          <w:caps w:val="false"/>
          <w:smallCaps w:val="false"/>
        </w:rPr>
      </w:pPr>
      <w:r>
        <w:rPr>
          <w:caps w:val="false"/>
          <w:smallCaps w:val="false"/>
        </w:rPr>
        <w:t> </w:t>
      </w:r>
    </w:p>
    <w:p>
      <w:pPr>
        <w:pStyle w:val="TextBody"/>
        <w:bidi w:val="0"/>
        <w:ind w:left="100" w:right="28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w:t>
      </w:r>
    </w:p>
    <w:p>
      <w:pPr>
        <w:pStyle w:val="TextBody"/>
        <w:bidi w:val="0"/>
        <w:ind w:left="100" w:right="27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pStyle w:val="TextBody"/>
        <w:bidi w:val="0"/>
        <w:jc w:val="left"/>
        <w:rPr>
          <w:caps w:val="false"/>
          <w:smallCaps w:val="false"/>
        </w:rPr>
      </w:pPr>
      <w:r>
        <w:rPr>
          <w:caps w:val="false"/>
          <w:smallCaps w:val="false"/>
        </w:rPr>
        <w:t> </w:t>
      </w:r>
    </w:p>
    <w:p>
      <w:pPr>
        <w:pStyle w:val="TextBody"/>
        <w:bidi w:val="0"/>
        <w:ind w:left="100" w:right="27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pStyle w:val="TextBody"/>
        <w:bidi w:val="0"/>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10.26(e)</w:t>
      </w:r>
    </w:p>
    <w:p>
      <w:pPr>
        <w:pStyle w:val="TextBody"/>
        <w:bidi w:val="0"/>
        <w:spacing w:before="58" w:after="58"/>
        <w:ind w:left="100" w:right="11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 a condition precedent to the effectiveness of this Amendment, the Borrower shall comply with the terms and conditions (if any) specified in Exhibit A.</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100" w:right="11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pStyle w:val="TextBody"/>
        <w:bidi w:val="0"/>
        <w:jc w:val="left"/>
        <w:rPr>
          <w:caps w:val="false"/>
          <w:smallCaps w:val="false"/>
        </w:rPr>
      </w:pPr>
      <w:r>
        <w:rPr>
          <w:caps w:val="false"/>
          <w:smallCaps w:val="false"/>
        </w:rPr>
        <w:t> </w:t>
      </w:r>
    </w:p>
    <w:p>
      <w:pPr>
        <w:pStyle w:val="TextBody"/>
        <w:bidi w:val="0"/>
        <w:ind w:left="100" w:right="11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Upon written request by the other party (which may be made by electronic mail), any party so executing this Amendment by facsimile transmission shall promptly deliver a manually executed counterpart, provided that any failure to do so shall not affect the validity of the counterpart executed by facsimile transmission.</w:t>
      </w:r>
    </w:p>
    <w:p>
      <w:pPr>
        <w:pStyle w:val="TextBody"/>
        <w:bidi w:val="0"/>
        <w:jc w:val="left"/>
        <w:rPr>
          <w:caps w:val="false"/>
          <w:smallCaps w:val="false"/>
        </w:rPr>
      </w:pPr>
      <w:r>
        <w:rPr>
          <w:caps w:val="false"/>
          <w:smallCaps w:val="false"/>
        </w:rPr>
        <w:t> </w:t>
      </w:r>
    </w:p>
    <w:p>
      <w:pPr>
        <w:pStyle w:val="TextBody"/>
        <w:bidi w:val="0"/>
        <w:ind w:left="100" w:right="11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Notwithstanding any other provision herein or in the other Loan Documents, the Borrower agrees that this Amendment, the Loan Documents, any other amendments thereto and any other information, notice, signature card, agreement or authorization related thereto (each, a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 The Borrower and the Bank acknowledge and agree that the methods for delivering Communications, including notices, under the Loan Documents include electronic transmittal to any electronic address provided by either party to the other party from time to time.</w:t>
      </w:r>
    </w:p>
    <w:p>
      <w:pPr>
        <w:pStyle w:val="TextBody"/>
        <w:bidi w:val="0"/>
        <w:jc w:val="left"/>
        <w:rPr>
          <w:caps w:val="false"/>
          <w:smallCaps w:val="false"/>
        </w:rPr>
      </w:pPr>
      <w:r>
        <w:rPr>
          <w:caps w:val="false"/>
          <w:smallCaps w:val="false"/>
        </w:rPr>
        <w:t> </w:t>
      </w:r>
    </w:p>
    <w:p>
      <w:pPr>
        <w:pStyle w:val="TextBody"/>
        <w:bidi w:val="0"/>
        <w:ind w:left="100" w:right="11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Bank may modify this Amendment for the purposes of completing missing content or correcting erroneous content, without the need for a written amendment, provided that the Bank shall send a copy of any such modification to the Borrower (which notice may be given by electronic mail).</w:t>
      </w:r>
    </w:p>
    <w:p>
      <w:pPr>
        <w:pStyle w:val="TextBody"/>
        <w:bidi w:val="0"/>
        <w:jc w:val="left"/>
        <w:rPr>
          <w:caps w:val="false"/>
          <w:smallCaps w:val="false"/>
        </w:rPr>
      </w:pPr>
      <w:r>
        <w:rPr>
          <w:caps w:val="false"/>
          <w:smallCaps w:val="false"/>
        </w:rPr>
        <w:t> </w:t>
      </w:r>
    </w:p>
    <w:p>
      <w:pPr>
        <w:pStyle w:val="TextBody"/>
        <w:bidi w:val="0"/>
        <w:ind w:left="10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Amendment will be binding upon and inure to the benefit of the Borrower and the Bank and their respective heirs, executors, administrators, successors and assigns.</w:t>
      </w:r>
    </w:p>
    <w:p>
      <w:pPr>
        <w:pStyle w:val="TextBody"/>
        <w:bidi w:val="0"/>
        <w:spacing w:before="10" w:after="10"/>
        <w:ind w:left="10" w:right="10" w:hanging="0"/>
        <w:jc w:val="left"/>
        <w:rPr>
          <w:caps w:val="false"/>
          <w:smallCaps w:val="false"/>
        </w:rPr>
      </w:pPr>
      <w:r>
        <w:rPr>
          <w:caps w:val="false"/>
          <w:smallCaps w:val="false"/>
        </w:rPr>
        <w:t> </w:t>
      </w:r>
    </w:p>
    <w:p>
      <w:pPr>
        <w:pStyle w:val="TextBody"/>
        <w:bidi w:val="0"/>
        <w:ind w:left="100" w:right="11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Amendment will be interpreted and the rights and liabilities of the parties hereto determined in accordance with the laws of the State identified in and governing the Loan Documents that are being amended hereby (the “</w:t>
      </w:r>
      <w:r>
        <w:rPr>
          <w:rFonts w:ascii="Times New Roman;Times;Serif" w:hAnsi="Times New Roman;Times;Serif"/>
          <w:b/>
          <w:i w:val="false"/>
          <w:caps w:val="false"/>
          <w:smallCaps w:val="false"/>
          <w:sz w:val="20"/>
        </w:rPr>
        <w:t>State</w:t>
      </w:r>
      <w:r>
        <w:rPr>
          <w:rFonts w:ascii="Times New Roman;Times;Serif" w:hAnsi="Times New Roman;Times;Serif"/>
          <w:b w:val="false"/>
          <w:i w:val="false"/>
          <w:caps w:val="false"/>
          <w:smallCaps w:val="false"/>
          <w:sz w:val="20"/>
        </w:rPr>
        <w:t>”), excluding its conflict of laws rules, including without limitation the Electronic Transactions Act (or equivalent) in such State (or, to the extent controlling, the laws of the United States of America, including without limitation the Electronic Signatures in Global and National Commerce Act). This Amendment has been delivered to and accepted by the Bank and will be deemed to be made in the State.</w:t>
      </w:r>
    </w:p>
    <w:p>
      <w:pPr>
        <w:pStyle w:val="TextBody"/>
        <w:bidi w:val="0"/>
        <w:spacing w:before="9" w:after="9"/>
        <w:ind w:left="9" w:right="9" w:hanging="0"/>
        <w:jc w:val="left"/>
        <w:rPr>
          <w:caps w:val="false"/>
          <w:smallCaps w:val="false"/>
        </w:rPr>
      </w:pPr>
      <w:r>
        <w:rPr>
          <w:caps w:val="false"/>
          <w:smallCaps w:val="false"/>
        </w:rPr>
        <w:t> </w:t>
      </w:r>
    </w:p>
    <w:p>
      <w:pPr>
        <w:pStyle w:val="TextBody"/>
        <w:bidi w:val="0"/>
        <w:ind w:left="100" w:right="11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Times New Roman;Times;Serif" w:hAnsi="Times New Roman;Times;Serif"/>
          <w:b/>
          <w:i w:val="false"/>
          <w:caps w:val="false"/>
          <w:smallCaps w:val="false"/>
          <w:sz w:val="20"/>
        </w:rPr>
        <w:t>The Borrower expressly ratifies and confirms the confession of judgment (if applicable) and dispute resolution, waiver of jury trial or arbitration provisions, as applicable, contained in the Loan Documents, all of which are incorporated herein by reference.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10.26(e)</w:t>
      </w:r>
    </w:p>
    <w:p>
      <w:pPr>
        <w:pStyle w:val="TextBody"/>
        <w:bidi w:val="0"/>
        <w:spacing w:before="39" w:after="39"/>
        <w:ind w:left="100" w:right="39"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xml:space="preserve"> the due execution of this Amendment as a document under seal as of the date first written above.</w:t>
      </w:r>
    </w:p>
    <w:p>
      <w:pPr>
        <w:pStyle w:val="TextBody"/>
        <w:bidi w:val="0"/>
        <w:jc w:val="left"/>
        <w:rPr>
          <w:caps w:val="false"/>
          <w:smallCaps w:val="false"/>
        </w:rPr>
      </w:pPr>
      <w:r>
        <w:rPr>
          <w:caps w:val="false"/>
          <w:smallCaps w:val="false"/>
        </w:rPr>
        <w:t> </w:t>
      </w:r>
    </w:p>
    <w:p>
      <w:pPr>
        <w:pStyle w:val="TextBody"/>
        <w:bidi w:val="0"/>
        <w:spacing w:before="11" w:after="11"/>
        <w:ind w:left="11" w:right="11" w:hanging="0"/>
        <w:jc w:val="left"/>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374"/>
        <w:gridCol w:w="2548"/>
        <w:gridCol w:w="742"/>
      </w:tblGrid>
      <w:tr>
        <w:trPr/>
        <w:tc>
          <w:tcPr>
            <w:tcW w:w="75" w:type="dxa"/>
            <w:tcBorders/>
            <w:vAlign w:val="center"/>
          </w:tcPr>
          <w:p>
            <w:pPr>
              <w:pStyle w:val="TableContents"/>
              <w:bidi w:val="0"/>
              <w:spacing w:before="0" w:after="283"/>
              <w:ind w:left="0" w:right="0" w:hanging="0"/>
              <w:jc w:val="left"/>
              <w:rPr/>
            </w:pPr>
            <w:r>
              <w:rPr/>
              <w:t> </w:t>
            </w:r>
          </w:p>
        </w:tc>
        <w:tc>
          <w:tcPr>
            <w:tcW w:w="36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MIDDLESEX WATER COMPANY</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3290"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(SEAL)</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 Bruce O’Connor</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3290" w:type="dxa"/>
            <w:gridSpan w:val="2"/>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Senior Vice President &amp; Treasurer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6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PINELANDS WASTEWATER COMPANY</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3290"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(SEAL)</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3290" w:type="dxa"/>
            <w:gridSpan w:val="2"/>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 Bruce O’Connor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3290" w:type="dxa"/>
            <w:gridSpan w:val="2"/>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Vice President &amp; Treasurer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6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PINELANDS WATER COMPANY</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3290"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(SEAL)</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 Bruce O’Connor</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Vice President &amp; Treasurer</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6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3290"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pPr>
            <w:r>
              <w:rPr/>
              <w:t> </w:t>
            </w:r>
          </w:p>
        </w:tc>
        <w:tc>
          <w:tcPr>
            <w:tcW w:w="742"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74" w:type="dxa"/>
            <w:tcBorders/>
            <w:vAlign w:val="center"/>
          </w:tcPr>
          <w:p>
            <w:pPr>
              <w:pStyle w:val="TableContents"/>
              <w:bidi w:val="0"/>
              <w:spacing w:before="0" w:after="283"/>
              <w:ind w:left="0" w:right="0" w:hanging="0"/>
              <w:jc w:val="left"/>
              <w:rPr/>
            </w:pPr>
            <w:r>
              <w:rPr/>
              <w:t> </w:t>
            </w:r>
          </w:p>
        </w:tc>
        <w:tc>
          <w:tcPr>
            <w:tcW w:w="254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A. Bruce O’Connor </w:t>
              <w:br/>
              <w:t>President</w:t>
            </w:r>
          </w:p>
        </w:tc>
        <w:tc>
          <w:tcPr>
            <w:tcW w:w="742"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CONTINUE ON FOLLOWING PAGE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10.26(e)</w:t>
      </w:r>
    </w:p>
    <w:tbl>
      <w:tblPr>
        <w:tblW w:w="6439" w:type="dxa"/>
        <w:jc w:val="left"/>
        <w:tblInd w:w="0" w:type="dxa"/>
        <w:tblLayout w:type="fixed"/>
        <w:tblCellMar>
          <w:top w:w="0" w:type="dxa"/>
          <w:left w:w="0" w:type="dxa"/>
          <w:bottom w:w="0" w:type="dxa"/>
          <w:right w:w="0" w:type="dxa"/>
        </w:tblCellMar>
      </w:tblPr>
      <w:tblGrid>
        <w:gridCol w:w="75"/>
        <w:gridCol w:w="649"/>
        <w:gridCol w:w="4426"/>
        <w:gridCol w:w="1289"/>
      </w:tblGrid>
      <w:tr>
        <w:trPr/>
        <w:tc>
          <w:tcPr>
            <w:tcW w:w="75" w:type="dxa"/>
            <w:tcBorders/>
            <w:vAlign w:val="center"/>
          </w:tcPr>
          <w:p>
            <w:pPr>
              <w:pStyle w:val="TableContents"/>
              <w:bidi w:val="0"/>
              <w:spacing w:before="0" w:after="283"/>
              <w:ind w:left="0" w:right="0" w:hanging="0"/>
              <w:jc w:val="left"/>
              <w:rPr/>
            </w:pPr>
            <w:r>
              <w:rPr/>
              <w:t> </w:t>
            </w:r>
          </w:p>
        </w:tc>
        <w:tc>
          <w:tcPr>
            <w:tcW w:w="6364" w:type="dxa"/>
            <w:gridSpan w:val="3"/>
            <w:tcBorders/>
            <w:vAlign w:val="center"/>
          </w:tcPr>
          <w:p>
            <w:pPr>
              <w:pStyle w:val="TableContents"/>
              <w:bidi w:val="0"/>
              <w:spacing w:before="0" w:after="283"/>
              <w:ind w:left="0" w:right="0" w:hanging="0"/>
              <w:jc w:val="left"/>
              <w:rPr>
                <w:b/>
              </w:rPr>
            </w:pPr>
            <w:r>
              <w:rPr>
                <w:b/>
              </w:rPr>
              <w:t>UTILITY SERVICE AFFILIATES (PERTH AMBOY) INC.</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5715"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righ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(SEAL)</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 Bruce O’Connor</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Vice President &amp; Treasurer</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3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UTILITY SERVICE AFFILIATES INC.</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right"/>
              <w:rPr/>
            </w:pPr>
            <w:r>
              <w:rPr/>
              <w:t> </w:t>
            </w:r>
          </w:p>
        </w:tc>
        <w:tc>
          <w:tcPr>
            <w:tcW w:w="649"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5715"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righ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(SEAL)</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A. Bruce O’Connor </w:t>
              <w:br/>
              <w:t>Treasurer</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3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WHITE MARSH ENVIRONMENTAL SYSTEMS, INC.</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5715"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rFonts w:ascii="Times New Roman;Times;Serif" w:hAnsi="Times New Roman;Times;Serif"/>
                <w:sz w:val="20"/>
              </w:rPr>
              <w:t>/s/ A. Bruce O</w:t>
            </w:r>
            <w:r>
              <w:rPr/>
              <w:t>’</w:t>
            </w:r>
            <w:r>
              <w:rPr>
                <w:rFonts w:ascii="Times New Roman;Times;Serif" w:hAnsi="Times New Roman;Times;Serif"/>
                <w:sz w:val="20"/>
              </w:rPr>
              <w:t>Connor</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A. Bruce O’Connor </w:t>
              <w:br/>
              <w:t>President</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364"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PNC BANK, NATIONAL ASSOCIATION</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5715"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Anthony Frasso</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pPr>
            <w:r>
              <w:rPr/>
              <w:t> </w:t>
            </w:r>
          </w:p>
        </w:tc>
        <w:tc>
          <w:tcPr>
            <w:tcW w:w="1289" w:type="dxa"/>
            <w:tcBorders/>
            <w:vAlign w:val="center"/>
          </w:tcPr>
          <w:p>
            <w:pPr>
              <w:pStyle w:val="TableContents"/>
              <w:bidi w:val="0"/>
              <w:spacing w:before="0" w:after="283"/>
              <w:ind w:left="0" w:right="0" w:hanging="0"/>
              <w:jc w:val="righ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49" w:type="dxa"/>
            <w:tcBorders/>
            <w:vAlign w:val="center"/>
          </w:tcPr>
          <w:p>
            <w:pPr>
              <w:pStyle w:val="TableContents"/>
              <w:bidi w:val="0"/>
              <w:spacing w:before="0" w:after="283"/>
              <w:ind w:left="0" w:right="0" w:hanging="0"/>
              <w:jc w:val="left"/>
              <w:rPr/>
            </w:pPr>
            <w:r>
              <w:rPr/>
              <w:t> </w:t>
            </w:r>
          </w:p>
        </w:tc>
        <w:tc>
          <w:tcPr>
            <w:tcW w:w="442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Anthony Frasso </w:t>
              <w:br/>
              <w:t>Senior Vice President</w:t>
            </w:r>
          </w:p>
        </w:tc>
        <w:tc>
          <w:tcPr>
            <w:tcW w:w="1289"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10.26(e)</w:t>
      </w:r>
    </w:p>
    <w:p>
      <w:pPr>
        <w:pStyle w:val="TextBody"/>
        <w:bidi w:val="0"/>
        <w:ind w:left="15" w:right="1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TO </w:t>
        <w:br/>
        <w:t>AMENDMENT TO LOAN DOCUMENTS</w:t>
      </w:r>
    </w:p>
    <w:p>
      <w:pPr>
        <w:pStyle w:val="TextBody"/>
        <w:bidi w:val="0"/>
        <w:ind w:left="15" w:right="1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15, 2023</w:t>
      </w:r>
    </w:p>
    <w:p>
      <w:pPr>
        <w:pStyle w:val="TextBody"/>
        <w:bidi w:val="0"/>
        <w:jc w:val="left"/>
        <w:rPr>
          <w:caps w:val="false"/>
          <w:smallCaps w:val="false"/>
        </w:rPr>
      </w:pPr>
      <w:r>
        <w:rPr>
          <w:caps w:val="false"/>
          <w:smallCaps w:val="false"/>
        </w:rPr>
        <w:t> </w:t>
      </w:r>
    </w:p>
    <w:p>
      <w:pPr>
        <w:pStyle w:val="TextBody"/>
        <w:bidi w:val="0"/>
        <w:spacing w:before="11" w:after="11"/>
        <w:ind w:left="11" w:right="11"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b/>
                <w:u w:val="single"/>
              </w:rPr>
              <w:t>Loan Documents</w:t>
            </w:r>
            <w:r>
              <w:rPr>
                <w:b/>
              </w:rPr>
              <w:t>.</w:t>
            </w:r>
            <w:r>
              <w:rPr/>
              <w:t xml:space="preserve"> The Loan Documents that are the subject of this Amendment include the following (as each of such documents has been amended, modified or otherwise supplemented previously):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left"/>
              <w:rPr/>
            </w:pPr>
            <w:r>
              <w:rPr/>
              <w:t>Amended and Restated Loan Agreement between the Borrower and the Bank dated April 29, 2015, between the Borrower and the Bank</w:t>
            </w:r>
          </w:p>
        </w:tc>
      </w:tr>
    </w:tbl>
    <w:p>
      <w:pPr>
        <w:pStyle w:val="TextBody"/>
        <w:bidi w:val="0"/>
        <w:spacing w:before="10" w:after="10"/>
        <w:ind w:left="10" w:right="1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2.</w:t>
            </w:r>
          </w:p>
        </w:tc>
        <w:tc>
          <w:tcPr>
            <w:tcW w:w="9992" w:type="dxa"/>
            <w:tcBorders/>
            <w:vAlign w:val="center"/>
          </w:tcPr>
          <w:p>
            <w:pPr>
              <w:pStyle w:val="TableContents"/>
              <w:bidi w:val="0"/>
              <w:spacing w:before="0" w:after="283"/>
              <w:jc w:val="left"/>
              <w:rPr/>
            </w:pPr>
            <w:r>
              <w:rPr/>
              <w:t>$68,000,000.00 Amended and Restated Committed Line of Credit Note dated March 17, 2023, executed and delivered by the Borrower to the Bank (the “</w:t>
            </w:r>
            <w:r>
              <w:rPr>
                <w:b/>
              </w:rPr>
              <w:t>Note</w:t>
            </w:r>
            <w:r>
              <w:rPr/>
              <w: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9"/>
        <w:gridCol w:w="9933"/>
      </w:tblGrid>
      <w:tr>
        <w:trPr/>
        <w:tc>
          <w:tcPr>
            <w:tcW w:w="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283"/>
              <w:jc w:val="left"/>
              <w:rPr/>
            </w:pPr>
            <w:r>
              <w:rPr/>
              <w:t>Amendment to Loan Documents dated June 30, 2015, between the Borrower and the Bank</w:t>
            </w:r>
          </w:p>
        </w:tc>
      </w:tr>
    </w:tbl>
    <w:p>
      <w:pPr>
        <w:pStyle w:val="TextBody"/>
        <w:bidi w:val="0"/>
        <w:spacing w:before="10" w:after="10"/>
        <w:ind w:left="10" w:right="1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283"/>
              <w:jc w:val="left"/>
              <w:rPr/>
            </w:pPr>
            <w:r>
              <w:rPr/>
              <w:t>Amendment to Loan Documents dated September 26, 2017, between the Borrower and the Bank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2"/>
        <w:gridCol w:w="9929"/>
      </w:tblGrid>
      <w:tr>
        <w:trPr/>
        <w:tc>
          <w:tcPr>
            <w:tcW w:w="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283"/>
              <w:jc w:val="left"/>
              <w:rPr/>
            </w:pPr>
            <w:r>
              <w:rPr/>
              <w:t>Amendment to Loan Documents dated May 4, 2018, between the Borrower and the Bank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9"/>
        <w:gridCol w:w="9945"/>
      </w:tblGrid>
      <w:tr>
        <w:trPr/>
        <w:tc>
          <w:tcPr>
            <w:tcW w:w="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6.</w:t>
            </w:r>
          </w:p>
        </w:tc>
        <w:tc>
          <w:tcPr>
            <w:tcW w:w="9945" w:type="dxa"/>
            <w:tcBorders/>
            <w:vAlign w:val="center"/>
          </w:tcPr>
          <w:p>
            <w:pPr>
              <w:pStyle w:val="TableContents"/>
              <w:bidi w:val="0"/>
              <w:spacing w:before="0" w:after="283"/>
              <w:jc w:val="left"/>
              <w:rPr/>
            </w:pPr>
            <w:r>
              <w:rPr/>
              <w:t>Amendment to Loan Documents dated February 19, 2019, between the Borrower and the Bank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22"/>
        <w:gridCol w:w="9942"/>
      </w:tblGrid>
      <w:tr>
        <w:trPr/>
        <w:tc>
          <w:tcPr>
            <w:tcW w:w="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7.</w:t>
            </w:r>
          </w:p>
        </w:tc>
        <w:tc>
          <w:tcPr>
            <w:tcW w:w="9942" w:type="dxa"/>
            <w:tcBorders/>
            <w:vAlign w:val="center"/>
          </w:tcPr>
          <w:p>
            <w:pPr>
              <w:pStyle w:val="TableContents"/>
              <w:bidi w:val="0"/>
              <w:spacing w:before="0" w:after="283"/>
              <w:jc w:val="left"/>
              <w:rPr/>
            </w:pPr>
            <w:r>
              <w:rPr/>
              <w:t>Amendment to Loan Documents dated October 22, 2019, between the Borrower and the Bank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1"/>
        <w:gridCol w:w="9931"/>
      </w:tblGrid>
      <w:tr>
        <w:trPr/>
        <w:tc>
          <w:tcPr>
            <w:tcW w:w="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8.</w:t>
            </w:r>
          </w:p>
        </w:tc>
        <w:tc>
          <w:tcPr>
            <w:tcW w:w="9931" w:type="dxa"/>
            <w:tcBorders/>
            <w:vAlign w:val="center"/>
          </w:tcPr>
          <w:p>
            <w:pPr>
              <w:pStyle w:val="TableContents"/>
              <w:bidi w:val="0"/>
              <w:spacing w:before="0" w:after="283"/>
              <w:jc w:val="left"/>
              <w:rPr/>
            </w:pPr>
            <w:r>
              <w:rPr/>
              <w:t>Amendment to Loan Documents dated April 5, 2021, between the Borrower and the Bank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9.</w:t>
            </w:r>
          </w:p>
        </w:tc>
        <w:tc>
          <w:tcPr>
            <w:tcW w:w="9969" w:type="dxa"/>
            <w:tcBorders/>
            <w:vAlign w:val="center"/>
          </w:tcPr>
          <w:p>
            <w:pPr>
              <w:pStyle w:val="TableContents"/>
              <w:bidi w:val="0"/>
              <w:spacing w:before="0" w:after="283"/>
              <w:jc w:val="left"/>
              <w:rPr/>
            </w:pPr>
            <w:r>
              <w:rPr/>
              <w:t>Waiver and Amendment to Loan Documents dated February 9, 2022, between the Borrower and the Bank</w:t>
            </w:r>
          </w:p>
        </w:tc>
      </w:tr>
    </w:tbl>
    <w:p>
      <w:pPr>
        <w:pStyle w:val="TextBody"/>
        <w:bidi w:val="0"/>
        <w:spacing w:before="1" w:after="1"/>
        <w:ind w:left="1" w:right="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10.</w:t>
            </w:r>
          </w:p>
        </w:tc>
        <w:tc>
          <w:tcPr>
            <w:tcW w:w="9867" w:type="dxa"/>
            <w:tcBorders/>
            <w:vAlign w:val="center"/>
          </w:tcPr>
          <w:p>
            <w:pPr>
              <w:pStyle w:val="TableContents"/>
              <w:bidi w:val="0"/>
              <w:spacing w:before="0" w:after="283"/>
              <w:jc w:val="left"/>
              <w:rPr/>
            </w:pPr>
            <w:r>
              <w:rPr/>
              <w:t>All other documents, instruments, agreements, and certificates executed and delivered in connection with the Loan Documents listed in this Section A.</w:t>
            </w:r>
          </w:p>
        </w:tc>
      </w:tr>
    </w:tbl>
    <w:p>
      <w:pPr>
        <w:pStyle w:val="TextBody"/>
        <w:bidi w:val="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93"/>
        <w:gridCol w:w="9751"/>
      </w:tblGrid>
      <w:tr>
        <w:trPr/>
        <w:tc>
          <w:tcPr>
            <w:tcW w:w="6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B.</w:t>
            </w:r>
          </w:p>
        </w:tc>
        <w:tc>
          <w:tcPr>
            <w:tcW w:w="9751" w:type="dxa"/>
            <w:tcBorders/>
            <w:vAlign w:val="center"/>
          </w:tcPr>
          <w:p>
            <w:pPr>
              <w:pStyle w:val="TableContents"/>
              <w:bidi w:val="0"/>
              <w:spacing w:before="0" w:after="283"/>
              <w:jc w:val="left"/>
              <w:rPr/>
            </w:pPr>
            <w:r>
              <w:rPr>
                <w:b/>
                <w:u w:val="single"/>
              </w:rPr>
              <w:t>Amendment(s)</w:t>
            </w:r>
            <w:r>
              <w:rPr>
                <w:b/>
              </w:rPr>
              <w:t>.</w:t>
            </w:r>
            <w:r>
              <w:rPr/>
              <w:t xml:space="preserve"> The Loan Documents are amended as follows:</w:t>
            </w:r>
          </w:p>
        </w:tc>
      </w:tr>
    </w:tbl>
    <w:p>
      <w:pPr>
        <w:pStyle w:val="TextBody"/>
        <w:bidi w:val="0"/>
        <w:spacing w:before="6" w:after="6"/>
        <w:ind w:left="6" w:right="6" w:hanging="0"/>
        <w:jc w:val="left"/>
        <w:rPr>
          <w:caps w:val="false"/>
          <w:smallCaps w:val="false"/>
        </w:rPr>
      </w:pPr>
      <w:r>
        <w:rPr>
          <w:caps w:val="false"/>
          <w:smallCaps w:val="false"/>
        </w:rPr>
        <w:t> </w:t>
      </w:r>
    </w:p>
    <w:p>
      <w:pPr>
        <w:pStyle w:val="TextBody"/>
        <w:bidi w:val="0"/>
        <w:spacing w:before="72" w:after="72"/>
        <w:ind w:left="820" w:right="12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paragraph of Section 2 of the Note entitled Interest Rate is hereby amended and restated to read in its entirety as follows:</w:t>
      </w:r>
    </w:p>
    <w:p>
      <w:pPr>
        <w:pStyle w:val="TextBody"/>
        <w:bidi w:val="0"/>
        <w:jc w:val="left"/>
        <w:rPr>
          <w:caps w:val="false"/>
          <w:smallCaps w:val="false"/>
        </w:rPr>
      </w:pPr>
      <w:r>
        <w:rPr>
          <w:caps w:val="false"/>
          <w:smallCaps w:val="false"/>
        </w:rPr>
        <w:t> </w:t>
      </w:r>
    </w:p>
    <w:p>
      <w:pPr>
        <w:pStyle w:val="TextBody"/>
        <w:bidi w:val="0"/>
        <w:ind w:left="1540" w:right="118"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Borrower may select different Options to apply simultaneously to different portions of the advances and may select up to seven (7) different interest periods to apply simultaneously to different portions of the advances bearing interest under the Fixed Rate Option(s) (as defined below).”</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b/>
                <w:u w:val="single"/>
              </w:rPr>
              <w:t>Conditions to Effectiveness of Amendment</w:t>
            </w:r>
            <w:r>
              <w:rPr>
                <w:b/>
              </w:rPr>
              <w:t>.</w:t>
            </w:r>
            <w:r>
              <w:rPr/>
              <w:t xml:space="preserve"> The Bank’s willingness to agree to the amendments set forth in this Amendment is subject to the prior satisfaction of the following conditions: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00"/>
        <w:gridCol w:w="9849"/>
      </w:tblGrid>
      <w:tr>
        <w:trPr/>
        <w:tc>
          <w:tcPr>
            <w:tcW w:w="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1.</w:t>
            </w:r>
          </w:p>
        </w:tc>
        <w:tc>
          <w:tcPr>
            <w:tcW w:w="9849" w:type="dxa"/>
            <w:tcBorders/>
            <w:vAlign w:val="center"/>
          </w:tcPr>
          <w:p>
            <w:pPr>
              <w:pStyle w:val="TableContents"/>
              <w:bidi w:val="0"/>
              <w:spacing w:before="0" w:after="283"/>
              <w:jc w:val="left"/>
              <w:rPr/>
            </w:pPr>
            <w:r>
              <w:rPr/>
              <w:t>Execution by all parties and delivery to the Bank of this Amendment.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left"/>
              <w:rPr/>
            </w:pPr>
            <w:r>
              <w:rPr/>
              <w:t>Payment by the Borrower to the Bank of all fees and expenses required by the Bank in connection with this Amendment.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ind w:left="0" w:right="0" w:hanging="0"/>
        <w:jc w:val="right"/>
        <w:rPr>
          <w:rFonts w:ascii="Times New Roman;Times;Serif" w:hAnsi="Times New Roman;Times;Serif"/>
          <w:b/>
          <w:i w:val="false"/>
          <w:caps w:val="false"/>
          <w:smallCaps w:val="false"/>
          <w:sz w:val="20"/>
        </w:rPr>
      </w:pPr>
      <w:bookmarkStart w:id="30" w:name="ex31-1.htm"/>
      <w:bookmarkStart w:id="31" w:name="ksex311"/>
      <w:bookmarkEnd w:id="30"/>
      <w:bookmarkEnd w:id="31"/>
      <w:r>
        <w:rPr>
          <w:rFonts w:ascii="Times New Roman;Times;Serif" w:hAnsi="Times New Roman;Times;Serif"/>
          <w:b/>
          <w:i w:val="false"/>
          <w:caps w:val="false"/>
          <w:smallCaps w:val="false"/>
          <w:sz w:val="20"/>
        </w:rPr>
        <w:t>Exhibit 31.1</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Dennis W. Doll, certify that: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52"/>
        <w:gridCol w:w="9906"/>
      </w:tblGrid>
      <w:tr>
        <w:trPr/>
        <w:tc>
          <w:tcPr>
            <w:tcW w:w="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283"/>
              <w:jc w:val="both"/>
              <w:rPr/>
            </w:pPr>
            <w:r>
              <w:rPr/>
              <w:t>I have reviewed this quarterly report on Form 10-Q of Middlesex Water Company;</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6"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4"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jc w:val="both"/>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970"/>
      </w:tblGrid>
      <w:tr>
        <w:trPr/>
        <w:tc>
          <w:tcPr>
            <w:tcW w:w="1970" w:type="dxa"/>
            <w:tcBorders/>
            <w:vAlign w:val="center"/>
          </w:tcPr>
          <w:p>
            <w:pPr>
              <w:pStyle w:val="TableContents"/>
              <w:bidi w:val="0"/>
              <w:spacing w:before="0" w:after="283"/>
              <w:jc w:val="center"/>
              <w:rPr>
                <w:sz w:val="20"/>
                <w:u w:val="single"/>
              </w:rPr>
            </w:pPr>
            <w:r>
              <w:rPr>
                <w:sz w:val="20"/>
                <w:u w:val="single"/>
              </w:rPr>
              <w:t>/s/ Dennis W. Doll       </w:t>
            </w:r>
          </w:p>
        </w:tc>
      </w:tr>
      <w:tr>
        <w:trPr/>
        <w:tc>
          <w:tcPr>
            <w:tcW w:w="1970" w:type="dxa"/>
            <w:tcBorders/>
            <w:vAlign w:val="center"/>
          </w:tcPr>
          <w:p>
            <w:pPr>
              <w:pStyle w:val="TableContents"/>
              <w:bidi w:val="0"/>
              <w:spacing w:before="0" w:after="283"/>
              <w:jc w:val="center"/>
              <w:rPr>
                <w:sz w:val="20"/>
              </w:rPr>
            </w:pPr>
            <w:r>
              <w:rPr>
                <w:sz w:val="20"/>
              </w:rPr>
              <w:t>Dennis W. Doll</w:t>
            </w:r>
          </w:p>
        </w:tc>
      </w:tr>
      <w:tr>
        <w:trPr/>
        <w:tc>
          <w:tcPr>
            <w:tcW w:w="1970" w:type="dxa"/>
            <w:tcBorders/>
            <w:vAlign w:val="center"/>
          </w:tcPr>
          <w:p>
            <w:pPr>
              <w:pStyle w:val="TableContents"/>
              <w:bidi w:val="0"/>
              <w:spacing w:before="0" w:after="283"/>
              <w:jc w:val="center"/>
              <w:rPr>
                <w:sz w:val="20"/>
              </w:rPr>
            </w:pPr>
            <w:r>
              <w:rPr>
                <w:sz w:val="20"/>
              </w:rPr>
              <w:t>Chief Executive Officer</w:t>
            </w:r>
          </w:p>
        </w:tc>
      </w:tr>
    </w:tbl>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2023</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i w:val="false"/>
          <w:caps w:val="false"/>
          <w:smallCaps w:val="false"/>
          <w:sz w:val="20"/>
        </w:rPr>
      </w:pPr>
      <w:bookmarkStart w:id="32" w:name="ex31-2.htm"/>
      <w:bookmarkStart w:id="33" w:name="ksex312"/>
      <w:bookmarkEnd w:id="32"/>
      <w:bookmarkEnd w:id="33"/>
      <w:r>
        <w:rPr>
          <w:rFonts w:ascii="Times New Roman;Times;Serif" w:hAnsi="Times New Roman;Times;Serif"/>
          <w:b/>
          <w:i w:val="false"/>
          <w:caps w:val="false"/>
          <w:smallCaps w:val="false"/>
          <w:sz w:val="20"/>
        </w:rPr>
        <w:t>Exhibit 31.2</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Bruce O’Connor, certify that: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52"/>
        <w:gridCol w:w="9906"/>
      </w:tblGrid>
      <w:tr>
        <w:trPr/>
        <w:tc>
          <w:tcPr>
            <w:tcW w:w="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283"/>
              <w:jc w:val="both"/>
              <w:rPr/>
            </w:pPr>
            <w:r>
              <w:rPr/>
              <w:t>I have reviewed this quarterly report on Form 10-Q of Middlesex Water Company;</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tbl>
      <w:tblPr>
        <w:tblW w:w="2165" w:type="dxa"/>
        <w:jc w:val="left"/>
        <w:tblInd w:w="0" w:type="dxa"/>
        <w:tblLayout w:type="fixed"/>
        <w:tblCellMar>
          <w:top w:w="0" w:type="dxa"/>
          <w:left w:w="0" w:type="dxa"/>
          <w:bottom w:w="0" w:type="dxa"/>
          <w:right w:w="0" w:type="dxa"/>
        </w:tblCellMar>
      </w:tblPr>
      <w:tblGrid>
        <w:gridCol w:w="2165"/>
      </w:tblGrid>
      <w:tr>
        <w:trPr/>
        <w:tc>
          <w:tcPr>
            <w:tcW w:w="2165" w:type="dxa"/>
            <w:tcBorders/>
            <w:vAlign w:val="center"/>
          </w:tcPr>
          <w:p>
            <w:pPr>
              <w:pStyle w:val="TableContents"/>
              <w:bidi w:val="0"/>
              <w:spacing w:before="0" w:after="283"/>
              <w:jc w:val="both"/>
              <w:rPr/>
            </w:pPr>
            <w:r>
              <w:rPr/>
              <w:t> </w:t>
            </w:r>
          </w:p>
        </w:tc>
      </w:tr>
      <w:tr>
        <w:trPr/>
        <w:tc>
          <w:tcPr>
            <w:tcW w:w="2165" w:type="dxa"/>
            <w:tcBorders/>
            <w:vAlign w:val="center"/>
          </w:tcPr>
          <w:p>
            <w:pPr>
              <w:pStyle w:val="TableContents"/>
              <w:bidi w:val="0"/>
              <w:spacing w:before="0" w:after="283"/>
              <w:jc w:val="center"/>
              <w:rPr>
                <w:sz w:val="20"/>
                <w:u w:val="single"/>
              </w:rPr>
            </w:pPr>
            <w:r>
              <w:rPr>
                <w:sz w:val="20"/>
                <w:u w:val="single"/>
              </w:rPr>
              <w:t>/s/ A. Bruce O’Connor       </w:t>
            </w:r>
          </w:p>
        </w:tc>
      </w:tr>
      <w:tr>
        <w:trPr/>
        <w:tc>
          <w:tcPr>
            <w:tcW w:w="2165" w:type="dxa"/>
            <w:tcBorders/>
            <w:vAlign w:val="center"/>
          </w:tcPr>
          <w:p>
            <w:pPr>
              <w:pStyle w:val="TableContents"/>
              <w:bidi w:val="0"/>
              <w:spacing w:before="0" w:after="283"/>
              <w:jc w:val="center"/>
              <w:rPr>
                <w:sz w:val="20"/>
              </w:rPr>
            </w:pPr>
            <w:r>
              <w:rPr>
                <w:sz w:val="20"/>
              </w:rPr>
              <w:t>A. Bruce O’Connor</w:t>
            </w:r>
          </w:p>
        </w:tc>
      </w:tr>
      <w:tr>
        <w:trPr/>
        <w:tc>
          <w:tcPr>
            <w:tcW w:w="2165" w:type="dxa"/>
            <w:tcBorders/>
            <w:vAlign w:val="center"/>
          </w:tcPr>
          <w:p>
            <w:pPr>
              <w:pStyle w:val="TableContents"/>
              <w:bidi w:val="0"/>
              <w:spacing w:before="0" w:after="283"/>
              <w:jc w:val="center"/>
              <w:rPr>
                <w:sz w:val="20"/>
              </w:rPr>
            </w:pPr>
            <w:r>
              <w:rPr>
                <w:sz w:val="20"/>
              </w:rPr>
              <w:t>Chief Financial Officer</w:t>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2023</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bookmarkStart w:id="34" w:name="ex32-1.htm"/>
      <w:bookmarkStart w:id="35" w:name="ksex321"/>
      <w:bookmarkEnd w:id="34"/>
      <w:bookmarkEnd w:id="3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sz w:val="20"/>
                <w:u w:val="single"/>
              </w:rPr>
            </w:pPr>
            <w:r>
              <w:rPr>
                <w:sz w:val="20"/>
                <w:u w:val="single"/>
              </w:rPr>
              <w:t>/s/ Dennis W. Doll      </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sz w:val="20"/>
              </w:rPr>
            </w:pPr>
            <w:r>
              <w:rPr>
                <w:sz w:val="20"/>
              </w:rPr>
              <w:t>Dennis W. Doll</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sz w:val="20"/>
              </w:rPr>
            </w:pPr>
            <w:r>
              <w:rPr>
                <w:sz w:val="20"/>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i w:val="false"/>
          <w:caps w:val="false"/>
          <w:smallCaps w:val="false"/>
          <w:sz w:val="20"/>
        </w:rPr>
      </w:pPr>
      <w:bookmarkStart w:id="36" w:name="ex32-2.htm"/>
      <w:bookmarkStart w:id="37" w:name="ksex322"/>
      <w:bookmarkEnd w:id="36"/>
      <w:bookmarkEnd w:id="37"/>
      <w:r>
        <w:rPr>
          <w:rFonts w:ascii="Times New Roman;Times;Serif" w:hAnsi="Times New Roman;Times;Serif"/>
          <w:b/>
          <w:i w:val="false"/>
          <w:caps w:val="false"/>
          <w:smallCaps w:val="false"/>
          <w:sz w:val="20"/>
        </w:rPr>
        <w:t>Exhibit 32.2</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spacing w:before="240" w:after="6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75"/>
        <w:gridCol w:w="2105"/>
      </w:tblGrid>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sz w:val="20"/>
                <w:u w:val="single"/>
              </w:rPr>
            </w:pPr>
            <w:r>
              <w:rPr>
                <w:sz w:val="20"/>
                <w:u w:val="single"/>
              </w:rPr>
              <w:t>/s/ A. Bruce O’Connor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sz w:val="20"/>
              </w:rPr>
            </w:pPr>
            <w:r>
              <w:rPr>
                <w:sz w:val="20"/>
              </w:rPr>
              <w:t>A. Bruce O’Connor</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sz w:val="20"/>
              </w:rPr>
            </w:pPr>
            <w:r>
              <w:rPr>
                <w:sz w:val="20"/>
              </w:rPr>
              <w:t>Chief Financial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2023</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16983</Words>
  <Characters>92970</Characters>
  <CharactersWithSpaces>112231</CharactersWithSpaces>
  <Paragraphs>6447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